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879" w:rsidRDefault="00024879" w:rsidP="00024879">
      <w:pPr>
        <w:pStyle w:val="BodyText"/>
        <w:spacing w:before="2"/>
        <w:rPr>
          <w:b/>
          <w:sz w:val="17"/>
        </w:rPr>
      </w:pPr>
    </w:p>
    <w:p w:rsidR="00315157" w:rsidRDefault="00315157" w:rsidP="00024879">
      <w:pPr>
        <w:pStyle w:val="BodyText"/>
        <w:spacing w:before="2"/>
        <w:rPr>
          <w:b/>
          <w:sz w:val="17"/>
        </w:rPr>
      </w:pPr>
    </w:p>
    <w:p w:rsidR="00315157" w:rsidRDefault="00315157" w:rsidP="00315157">
      <w:pPr>
        <w:widowControl/>
        <w:autoSpaceDE/>
        <w:autoSpaceDN/>
        <w:spacing w:after="200" w:line="276" w:lineRule="auto"/>
        <w:contextualSpacing/>
        <w:rPr>
          <w:b/>
        </w:rPr>
      </w:pPr>
      <w:r w:rsidRPr="008C1F3C">
        <w:rPr>
          <w:b/>
        </w:rPr>
        <w:t xml:space="preserve">Effective principals </w:t>
      </w:r>
      <w:r>
        <w:rPr>
          <w:b/>
        </w:rPr>
        <w:t>actively shape a positive culture for their school.</w:t>
      </w:r>
    </w:p>
    <w:p w:rsidR="00315157" w:rsidRDefault="00315157" w:rsidP="00024879">
      <w:pPr>
        <w:pStyle w:val="BodyText"/>
        <w:spacing w:before="2"/>
        <w:rPr>
          <w:b/>
          <w:sz w:val="17"/>
        </w:rPr>
      </w:pPr>
    </w:p>
    <w:p w:rsidR="00315157" w:rsidRDefault="00315157" w:rsidP="00024879">
      <w:pPr>
        <w:pStyle w:val="BodyText"/>
        <w:spacing w:before="2"/>
        <w:rPr>
          <w:b/>
          <w:sz w:val="17"/>
        </w:rPr>
      </w:pPr>
    </w:p>
    <w:p w:rsidR="00024879" w:rsidRDefault="00024879" w:rsidP="00024879">
      <w:pPr>
        <w:pStyle w:val="BodyText"/>
        <w:spacing w:before="1" w:line="259" w:lineRule="auto"/>
        <w:ind w:left="160" w:right="1185"/>
      </w:pPr>
      <w:r>
        <w:rPr>
          <w:color w:val="231F20"/>
        </w:rPr>
        <w:t xml:space="preserve">Organizational culture is powerful and persistent in its ability to alter and align human behavior. </w:t>
      </w:r>
      <w:proofErr w:type="gramStart"/>
      <w:r>
        <w:rPr>
          <w:color w:val="231F20"/>
        </w:rPr>
        <w:t>School administrators, as they become more skillful at seeing and shaping school culture, are in a position to not only understand and assess a culture, but also to participate in the culture and shape it from within.</w:t>
      </w:r>
      <w:proofErr w:type="gramEnd"/>
      <w:r>
        <w:rPr>
          <w:color w:val="231F20"/>
        </w:rPr>
        <w:t xml:space="preserve"> An administrator’s personal characteristics, then, become important culture shaping elements. It’s hard to imagine, for example, a lethargic principal leading the charge to create a high-energy school culture, or a secretive principal shaping a school’s culture toward openness and transparency.</w:t>
      </w:r>
    </w:p>
    <w:p w:rsidR="00024879" w:rsidRDefault="00024879" w:rsidP="00024879">
      <w:pPr>
        <w:pStyle w:val="BodyText"/>
        <w:spacing w:before="175" w:line="259" w:lineRule="auto"/>
        <w:ind w:left="160" w:right="1026"/>
      </w:pPr>
      <w:r>
        <w:rPr>
          <w:color w:val="231F20"/>
        </w:rPr>
        <w:t xml:space="preserve">One characteristic that is present in high-performance organizations and markedly absent in low- performing organizations is </w:t>
      </w:r>
      <w:r>
        <w:rPr>
          <w:b/>
          <w:color w:val="231F20"/>
        </w:rPr>
        <w:t>trust</w:t>
      </w:r>
      <w:r>
        <w:rPr>
          <w:color w:val="231F20"/>
        </w:rPr>
        <w:t>. School leaders who can build and maintain high-trust relationships, both personally and organizationally, are in a position to optimize their school’s effectiveness to the great benefit of all stakeholders.</w:t>
      </w:r>
    </w:p>
    <w:p w:rsidR="00024879" w:rsidRDefault="00024879" w:rsidP="00024879">
      <w:pPr>
        <w:pStyle w:val="BodyText"/>
        <w:spacing w:before="176" w:line="259" w:lineRule="auto"/>
        <w:ind w:left="160" w:right="1098"/>
      </w:pPr>
      <w:r>
        <w:rPr>
          <w:color w:val="231F20"/>
        </w:rPr>
        <w:t xml:space="preserve">The famous American psychologist and writer Carl Rogers was one of the first and best to speak and write about the nature of human trust and its importance. Rogers maintained that although trust was a unitary concept, it was best understood by examining its parts (McLeod, 2014). Rogers’ work has been popularized, amended, and widely disseminated as the </w:t>
      </w:r>
      <w:r>
        <w:rPr>
          <w:i/>
          <w:color w:val="231F20"/>
        </w:rPr>
        <w:t xml:space="preserve">four elements of trust- </w:t>
      </w:r>
      <w:r>
        <w:rPr>
          <w:b/>
          <w:i/>
          <w:color w:val="231F20"/>
        </w:rPr>
        <w:t xml:space="preserve">reliability, acceptance, openness, and congruence </w:t>
      </w:r>
      <w:r>
        <w:rPr>
          <w:color w:val="231F20"/>
        </w:rPr>
        <w:t>(Ayers, 2009). These four elements of trust can help administrators to understand the concept of trust more deeply and also serve as an assessment approach to gauge an individual’s or a school’s progress toward a high-trust culture.</w:t>
      </w:r>
    </w:p>
    <w:p w:rsidR="00024879" w:rsidRDefault="00024879" w:rsidP="00024879">
      <w:pPr>
        <w:pStyle w:val="BodyText"/>
        <w:spacing w:before="175"/>
        <w:ind w:left="160"/>
      </w:pPr>
      <w:r>
        <w:rPr>
          <w:color w:val="231F20"/>
        </w:rPr>
        <w:t>A closer look at the four elements of trust:</w:t>
      </w:r>
    </w:p>
    <w:p w:rsidR="00024879" w:rsidRDefault="00024879" w:rsidP="00024879">
      <w:pPr>
        <w:pStyle w:val="BodyText"/>
        <w:spacing w:before="2"/>
        <w:rPr>
          <w:sz w:val="17"/>
        </w:rPr>
      </w:pPr>
    </w:p>
    <w:p w:rsidR="00024879" w:rsidRPr="00315157" w:rsidRDefault="00024879" w:rsidP="00024879">
      <w:pPr>
        <w:pStyle w:val="ListParagraph"/>
        <w:numPr>
          <w:ilvl w:val="0"/>
          <w:numId w:val="1"/>
        </w:numPr>
        <w:tabs>
          <w:tab w:val="left" w:pos="790"/>
        </w:tabs>
        <w:spacing w:before="1" w:line="259" w:lineRule="auto"/>
        <w:ind w:right="1393"/>
        <w:rPr>
          <w:sz w:val="21"/>
        </w:rPr>
      </w:pPr>
      <w:r>
        <w:rPr>
          <w:b/>
          <w:color w:val="231F20"/>
          <w:sz w:val="21"/>
        </w:rPr>
        <w:t>Reliability</w:t>
      </w:r>
      <w:r>
        <w:rPr>
          <w:color w:val="231F20"/>
          <w:sz w:val="21"/>
        </w:rPr>
        <w:t>–Being dependable.</w:t>
      </w:r>
      <w:r>
        <w:rPr>
          <w:color w:val="231F20"/>
          <w:spacing w:val="-43"/>
          <w:sz w:val="21"/>
        </w:rPr>
        <w:t xml:space="preserve"> </w:t>
      </w:r>
      <w:r>
        <w:rPr>
          <w:color w:val="231F20"/>
          <w:sz w:val="21"/>
        </w:rPr>
        <w:t>The attribute of keeping commitments and following through on promises.</w:t>
      </w:r>
    </w:p>
    <w:p w:rsidR="00315157" w:rsidRDefault="00315157" w:rsidP="00315157">
      <w:pPr>
        <w:pStyle w:val="ListParagraph"/>
        <w:tabs>
          <w:tab w:val="left" w:pos="790"/>
        </w:tabs>
        <w:spacing w:before="1" w:line="259" w:lineRule="auto"/>
        <w:ind w:right="1393" w:firstLine="0"/>
        <w:rPr>
          <w:sz w:val="21"/>
        </w:rPr>
      </w:pPr>
    </w:p>
    <w:p w:rsidR="00024879" w:rsidRPr="00315157" w:rsidRDefault="00024879" w:rsidP="00024879">
      <w:pPr>
        <w:pStyle w:val="ListParagraph"/>
        <w:numPr>
          <w:ilvl w:val="0"/>
          <w:numId w:val="1"/>
        </w:numPr>
        <w:tabs>
          <w:tab w:val="left" w:pos="790"/>
        </w:tabs>
        <w:rPr>
          <w:sz w:val="21"/>
        </w:rPr>
      </w:pPr>
      <w:r>
        <w:rPr>
          <w:b/>
          <w:color w:val="231F20"/>
          <w:sz w:val="21"/>
        </w:rPr>
        <w:t>Acceptance</w:t>
      </w:r>
      <w:r>
        <w:rPr>
          <w:color w:val="231F20"/>
          <w:sz w:val="21"/>
        </w:rPr>
        <w:t>–Being trustworthy. The attribute of being</w:t>
      </w:r>
      <w:r>
        <w:rPr>
          <w:color w:val="231F20"/>
          <w:spacing w:val="-14"/>
          <w:sz w:val="21"/>
        </w:rPr>
        <w:t xml:space="preserve"> </w:t>
      </w:r>
      <w:r>
        <w:rPr>
          <w:color w:val="231F20"/>
          <w:sz w:val="21"/>
        </w:rPr>
        <w:t>non-judgmental.</w:t>
      </w:r>
    </w:p>
    <w:p w:rsidR="00315157" w:rsidRPr="00315157" w:rsidRDefault="00315157" w:rsidP="00315157">
      <w:pPr>
        <w:pStyle w:val="ListParagraph"/>
        <w:rPr>
          <w:sz w:val="21"/>
        </w:rPr>
      </w:pPr>
    </w:p>
    <w:p w:rsidR="00315157" w:rsidRDefault="00315157" w:rsidP="00315157">
      <w:pPr>
        <w:pStyle w:val="ListParagraph"/>
        <w:tabs>
          <w:tab w:val="left" w:pos="790"/>
        </w:tabs>
        <w:ind w:firstLine="0"/>
        <w:rPr>
          <w:sz w:val="21"/>
        </w:rPr>
      </w:pPr>
    </w:p>
    <w:p w:rsidR="00024879" w:rsidRPr="00315157" w:rsidRDefault="00024879" w:rsidP="00024879">
      <w:pPr>
        <w:pStyle w:val="ListParagraph"/>
        <w:numPr>
          <w:ilvl w:val="0"/>
          <w:numId w:val="1"/>
        </w:numPr>
        <w:tabs>
          <w:tab w:val="left" w:pos="790"/>
        </w:tabs>
        <w:spacing w:before="65" w:line="259" w:lineRule="auto"/>
        <w:ind w:right="1953"/>
        <w:rPr>
          <w:sz w:val="21"/>
        </w:rPr>
      </w:pPr>
      <w:r>
        <w:rPr>
          <w:b/>
          <w:color w:val="231F20"/>
          <w:sz w:val="21"/>
        </w:rPr>
        <w:t>Openness</w:t>
      </w:r>
      <w:r>
        <w:rPr>
          <w:color w:val="231F20"/>
          <w:sz w:val="21"/>
        </w:rPr>
        <w:t>–Being trusting. The willingness to freely engage in dialog and feedback,</w:t>
      </w:r>
      <w:r>
        <w:rPr>
          <w:color w:val="231F20"/>
          <w:spacing w:val="-40"/>
          <w:sz w:val="21"/>
        </w:rPr>
        <w:t xml:space="preserve"> </w:t>
      </w:r>
      <w:r>
        <w:rPr>
          <w:color w:val="231F20"/>
          <w:sz w:val="21"/>
        </w:rPr>
        <w:t>both personally and professionally.</w:t>
      </w:r>
      <w:r>
        <w:rPr>
          <w:color w:val="231F20"/>
          <w:spacing w:val="-4"/>
          <w:sz w:val="21"/>
        </w:rPr>
        <w:t xml:space="preserve"> </w:t>
      </w:r>
      <w:r>
        <w:rPr>
          <w:color w:val="231F20"/>
          <w:sz w:val="21"/>
        </w:rPr>
        <w:t>Self-disclosure.</w:t>
      </w:r>
    </w:p>
    <w:p w:rsidR="00315157" w:rsidRDefault="00315157" w:rsidP="00315157">
      <w:pPr>
        <w:pStyle w:val="ListParagraph"/>
        <w:tabs>
          <w:tab w:val="left" w:pos="790"/>
        </w:tabs>
        <w:spacing w:before="65" w:line="259" w:lineRule="auto"/>
        <w:ind w:right="1953" w:firstLine="0"/>
        <w:rPr>
          <w:sz w:val="21"/>
        </w:rPr>
      </w:pPr>
    </w:p>
    <w:p w:rsidR="00024879" w:rsidRDefault="00024879" w:rsidP="00024879">
      <w:pPr>
        <w:pStyle w:val="ListParagraph"/>
        <w:numPr>
          <w:ilvl w:val="0"/>
          <w:numId w:val="1"/>
        </w:numPr>
        <w:tabs>
          <w:tab w:val="left" w:pos="790"/>
        </w:tabs>
        <w:spacing w:line="259" w:lineRule="auto"/>
        <w:ind w:right="1804"/>
        <w:rPr>
          <w:sz w:val="21"/>
        </w:rPr>
      </w:pPr>
      <w:r>
        <w:rPr>
          <w:b/>
          <w:color w:val="231F20"/>
          <w:sz w:val="21"/>
        </w:rPr>
        <w:t>Congruence</w:t>
      </w:r>
      <w:r>
        <w:rPr>
          <w:color w:val="231F20"/>
          <w:sz w:val="21"/>
        </w:rPr>
        <w:t>–Being</w:t>
      </w:r>
      <w:r>
        <w:rPr>
          <w:color w:val="231F20"/>
          <w:spacing w:val="-5"/>
          <w:sz w:val="21"/>
        </w:rPr>
        <w:t xml:space="preserve"> </w:t>
      </w:r>
      <w:r>
        <w:rPr>
          <w:color w:val="231F20"/>
          <w:sz w:val="21"/>
        </w:rPr>
        <w:t>transparent.</w:t>
      </w:r>
      <w:r>
        <w:rPr>
          <w:color w:val="231F20"/>
          <w:spacing w:val="-5"/>
          <w:sz w:val="21"/>
        </w:rPr>
        <w:t xml:space="preserve"> </w:t>
      </w:r>
      <w:r>
        <w:rPr>
          <w:color w:val="231F20"/>
          <w:sz w:val="21"/>
        </w:rPr>
        <w:t>What</w:t>
      </w:r>
      <w:r>
        <w:rPr>
          <w:color w:val="231F20"/>
          <w:spacing w:val="-4"/>
          <w:sz w:val="21"/>
        </w:rPr>
        <w:t xml:space="preserve"> </w:t>
      </w:r>
      <w:r>
        <w:rPr>
          <w:color w:val="231F20"/>
          <w:sz w:val="21"/>
        </w:rPr>
        <w:t>you</w:t>
      </w:r>
      <w:r>
        <w:rPr>
          <w:color w:val="231F20"/>
          <w:spacing w:val="-4"/>
          <w:sz w:val="21"/>
        </w:rPr>
        <w:t xml:space="preserve"> </w:t>
      </w:r>
      <w:r>
        <w:rPr>
          <w:color w:val="231F20"/>
          <w:sz w:val="21"/>
        </w:rPr>
        <w:t>see</w:t>
      </w:r>
      <w:r>
        <w:rPr>
          <w:color w:val="231F20"/>
          <w:spacing w:val="-4"/>
          <w:sz w:val="21"/>
        </w:rPr>
        <w:t xml:space="preserve"> </w:t>
      </w:r>
      <w:r>
        <w:rPr>
          <w:color w:val="231F20"/>
          <w:sz w:val="21"/>
        </w:rPr>
        <w:t>(with</w:t>
      </w:r>
      <w:r>
        <w:rPr>
          <w:color w:val="231F20"/>
          <w:spacing w:val="-4"/>
          <w:sz w:val="21"/>
        </w:rPr>
        <w:t xml:space="preserve"> </w:t>
      </w:r>
      <w:r>
        <w:rPr>
          <w:color w:val="231F20"/>
          <w:sz w:val="21"/>
        </w:rPr>
        <w:t>all</w:t>
      </w:r>
      <w:r>
        <w:rPr>
          <w:color w:val="231F20"/>
          <w:spacing w:val="-5"/>
          <w:sz w:val="21"/>
        </w:rPr>
        <w:t xml:space="preserve"> </w:t>
      </w:r>
      <w:r>
        <w:rPr>
          <w:color w:val="231F20"/>
          <w:sz w:val="21"/>
        </w:rPr>
        <w:t>one’s</w:t>
      </w:r>
      <w:r>
        <w:rPr>
          <w:color w:val="231F20"/>
          <w:spacing w:val="-4"/>
          <w:sz w:val="21"/>
        </w:rPr>
        <w:t xml:space="preserve"> </w:t>
      </w:r>
      <w:r>
        <w:rPr>
          <w:color w:val="231F20"/>
          <w:sz w:val="21"/>
        </w:rPr>
        <w:t>senses)</w:t>
      </w:r>
      <w:r>
        <w:rPr>
          <w:color w:val="231F20"/>
          <w:spacing w:val="-4"/>
          <w:sz w:val="21"/>
        </w:rPr>
        <w:t xml:space="preserve"> </w:t>
      </w:r>
      <w:r>
        <w:rPr>
          <w:color w:val="231F20"/>
          <w:sz w:val="21"/>
        </w:rPr>
        <w:t>is</w:t>
      </w:r>
      <w:r>
        <w:rPr>
          <w:color w:val="231F20"/>
          <w:spacing w:val="-5"/>
          <w:sz w:val="21"/>
        </w:rPr>
        <w:t xml:space="preserve"> </w:t>
      </w:r>
      <w:r>
        <w:rPr>
          <w:color w:val="231F20"/>
          <w:sz w:val="21"/>
        </w:rPr>
        <w:t>what</w:t>
      </w:r>
      <w:r>
        <w:rPr>
          <w:color w:val="231F20"/>
          <w:spacing w:val="-5"/>
          <w:sz w:val="21"/>
        </w:rPr>
        <w:t xml:space="preserve"> </w:t>
      </w:r>
      <w:r>
        <w:rPr>
          <w:color w:val="231F20"/>
          <w:sz w:val="21"/>
        </w:rPr>
        <w:t>you</w:t>
      </w:r>
      <w:r>
        <w:rPr>
          <w:color w:val="231F20"/>
          <w:spacing w:val="-4"/>
          <w:sz w:val="21"/>
        </w:rPr>
        <w:t xml:space="preserve"> </w:t>
      </w:r>
      <w:r>
        <w:rPr>
          <w:color w:val="231F20"/>
          <w:sz w:val="21"/>
        </w:rPr>
        <w:t>get.</w:t>
      </w:r>
      <w:r>
        <w:rPr>
          <w:color w:val="231F20"/>
          <w:spacing w:val="-5"/>
          <w:sz w:val="21"/>
        </w:rPr>
        <w:t xml:space="preserve"> </w:t>
      </w:r>
      <w:r>
        <w:rPr>
          <w:color w:val="231F20"/>
          <w:sz w:val="21"/>
        </w:rPr>
        <w:t>No surprises. No hidden</w:t>
      </w:r>
      <w:r>
        <w:rPr>
          <w:color w:val="231F20"/>
          <w:spacing w:val="-3"/>
          <w:sz w:val="21"/>
        </w:rPr>
        <w:t xml:space="preserve"> </w:t>
      </w:r>
      <w:r>
        <w:rPr>
          <w:color w:val="231F20"/>
          <w:sz w:val="21"/>
        </w:rPr>
        <w:t>agendas.</w:t>
      </w:r>
    </w:p>
    <w:p w:rsidR="00315157" w:rsidRDefault="00315157" w:rsidP="00024879">
      <w:pPr>
        <w:pStyle w:val="BodyText"/>
        <w:spacing w:before="46"/>
        <w:ind w:left="160"/>
        <w:rPr>
          <w:color w:val="231F20"/>
        </w:rPr>
      </w:pPr>
    </w:p>
    <w:p w:rsidR="00315157" w:rsidRDefault="00315157" w:rsidP="00024879">
      <w:pPr>
        <w:pStyle w:val="BodyText"/>
        <w:spacing w:before="46"/>
        <w:ind w:left="160"/>
        <w:rPr>
          <w:color w:val="231F20"/>
        </w:rPr>
      </w:pPr>
    </w:p>
    <w:p w:rsidR="00024879" w:rsidRDefault="00024879" w:rsidP="00024879">
      <w:pPr>
        <w:pStyle w:val="BodyText"/>
        <w:spacing w:before="46"/>
        <w:ind w:left="160"/>
      </w:pPr>
      <w:r>
        <w:rPr>
          <w:color w:val="231F20"/>
        </w:rPr>
        <w:t>Note that these elements can be used to describe an individual or a group.</w:t>
      </w:r>
    </w:p>
    <w:p w:rsidR="00024879" w:rsidRDefault="00024879" w:rsidP="00024879">
      <w:pPr>
        <w:pStyle w:val="BodyText"/>
        <w:spacing w:before="2"/>
        <w:rPr>
          <w:sz w:val="17"/>
        </w:rPr>
      </w:pPr>
      <w:bookmarkStart w:id="0" w:name="_GoBack"/>
      <w:bookmarkEnd w:id="0"/>
    </w:p>
    <w:p w:rsidR="00024879" w:rsidRDefault="00024879" w:rsidP="00024879">
      <w:pPr>
        <w:spacing w:line="259" w:lineRule="auto"/>
        <w:rPr>
          <w:sz w:val="21"/>
        </w:rPr>
      </w:pPr>
    </w:p>
    <w:p w:rsidR="00315157" w:rsidRDefault="00315157" w:rsidP="00024879">
      <w:pPr>
        <w:spacing w:line="259" w:lineRule="auto"/>
        <w:rPr>
          <w:sz w:val="21"/>
        </w:rPr>
      </w:pPr>
    </w:p>
    <w:p w:rsidR="00315157" w:rsidRDefault="00315157" w:rsidP="00024879">
      <w:pPr>
        <w:spacing w:line="259" w:lineRule="auto"/>
        <w:rPr>
          <w:sz w:val="21"/>
        </w:rPr>
      </w:pPr>
    </w:p>
    <w:p w:rsidR="00315157" w:rsidRDefault="00315157" w:rsidP="00024879">
      <w:pPr>
        <w:spacing w:line="259" w:lineRule="auto"/>
        <w:rPr>
          <w:sz w:val="21"/>
        </w:rPr>
      </w:pPr>
    </w:p>
    <w:p w:rsidR="00315157" w:rsidRDefault="00315157" w:rsidP="00024879">
      <w:pPr>
        <w:spacing w:line="259" w:lineRule="auto"/>
        <w:rPr>
          <w:sz w:val="21"/>
        </w:rPr>
      </w:pPr>
    </w:p>
    <w:p w:rsidR="00242EB2" w:rsidRDefault="00242EB2"/>
    <w:sectPr w:rsidR="00242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05AB8"/>
    <w:multiLevelType w:val="hybridMultilevel"/>
    <w:tmpl w:val="1E365C5C"/>
    <w:lvl w:ilvl="0" w:tplc="8D98A6FE">
      <w:start w:val="1"/>
      <w:numFmt w:val="decimal"/>
      <w:lvlText w:val="%1."/>
      <w:lvlJc w:val="left"/>
      <w:pPr>
        <w:ind w:left="790" w:hanging="260"/>
        <w:jc w:val="left"/>
      </w:pPr>
      <w:rPr>
        <w:rFonts w:ascii="Arial" w:eastAsia="Arial" w:hAnsi="Arial" w:cs="Arial" w:hint="default"/>
        <w:color w:val="231F20"/>
        <w:spacing w:val="-1"/>
        <w:w w:val="100"/>
        <w:sz w:val="21"/>
        <w:szCs w:val="21"/>
        <w:lang w:val="en-US" w:eastAsia="en-US" w:bidi="en-US"/>
      </w:rPr>
    </w:lvl>
    <w:lvl w:ilvl="1" w:tplc="D876E544">
      <w:start w:val="1"/>
      <w:numFmt w:val="upperLetter"/>
      <w:lvlText w:val="%2."/>
      <w:lvlJc w:val="left"/>
      <w:pPr>
        <w:ind w:left="790" w:hanging="260"/>
        <w:jc w:val="left"/>
      </w:pPr>
      <w:rPr>
        <w:rFonts w:ascii="Arial" w:eastAsia="Arial" w:hAnsi="Arial" w:cs="Arial" w:hint="default"/>
        <w:color w:val="231F20"/>
        <w:w w:val="100"/>
        <w:sz w:val="21"/>
        <w:szCs w:val="21"/>
        <w:lang w:val="en-US" w:eastAsia="en-US" w:bidi="en-US"/>
      </w:rPr>
    </w:lvl>
    <w:lvl w:ilvl="2" w:tplc="EDEAE36C">
      <w:numFmt w:val="bullet"/>
      <w:lvlText w:val="•"/>
      <w:lvlJc w:val="left"/>
      <w:pPr>
        <w:ind w:left="2832" w:hanging="260"/>
      </w:pPr>
      <w:rPr>
        <w:rFonts w:hint="default"/>
        <w:lang w:val="en-US" w:eastAsia="en-US" w:bidi="en-US"/>
      </w:rPr>
    </w:lvl>
    <w:lvl w:ilvl="3" w:tplc="28304608">
      <w:numFmt w:val="bullet"/>
      <w:lvlText w:val="•"/>
      <w:lvlJc w:val="left"/>
      <w:pPr>
        <w:ind w:left="3848" w:hanging="260"/>
      </w:pPr>
      <w:rPr>
        <w:rFonts w:hint="default"/>
        <w:lang w:val="en-US" w:eastAsia="en-US" w:bidi="en-US"/>
      </w:rPr>
    </w:lvl>
    <w:lvl w:ilvl="4" w:tplc="35487AA2">
      <w:numFmt w:val="bullet"/>
      <w:lvlText w:val="•"/>
      <w:lvlJc w:val="left"/>
      <w:pPr>
        <w:ind w:left="4864" w:hanging="260"/>
      </w:pPr>
      <w:rPr>
        <w:rFonts w:hint="default"/>
        <w:lang w:val="en-US" w:eastAsia="en-US" w:bidi="en-US"/>
      </w:rPr>
    </w:lvl>
    <w:lvl w:ilvl="5" w:tplc="243C6D16">
      <w:numFmt w:val="bullet"/>
      <w:lvlText w:val="•"/>
      <w:lvlJc w:val="left"/>
      <w:pPr>
        <w:ind w:left="5880" w:hanging="260"/>
      </w:pPr>
      <w:rPr>
        <w:rFonts w:hint="default"/>
        <w:lang w:val="en-US" w:eastAsia="en-US" w:bidi="en-US"/>
      </w:rPr>
    </w:lvl>
    <w:lvl w:ilvl="6" w:tplc="62EEA19E">
      <w:numFmt w:val="bullet"/>
      <w:lvlText w:val="•"/>
      <w:lvlJc w:val="left"/>
      <w:pPr>
        <w:ind w:left="6896" w:hanging="260"/>
      </w:pPr>
      <w:rPr>
        <w:rFonts w:hint="default"/>
        <w:lang w:val="en-US" w:eastAsia="en-US" w:bidi="en-US"/>
      </w:rPr>
    </w:lvl>
    <w:lvl w:ilvl="7" w:tplc="B386C46E">
      <w:numFmt w:val="bullet"/>
      <w:lvlText w:val="•"/>
      <w:lvlJc w:val="left"/>
      <w:pPr>
        <w:ind w:left="7912" w:hanging="260"/>
      </w:pPr>
      <w:rPr>
        <w:rFonts w:hint="default"/>
        <w:lang w:val="en-US" w:eastAsia="en-US" w:bidi="en-US"/>
      </w:rPr>
    </w:lvl>
    <w:lvl w:ilvl="8" w:tplc="59A20DEC">
      <w:numFmt w:val="bullet"/>
      <w:lvlText w:val="•"/>
      <w:lvlJc w:val="left"/>
      <w:pPr>
        <w:ind w:left="8928" w:hanging="2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79"/>
    <w:rsid w:val="00024879"/>
    <w:rsid w:val="00242EB2"/>
    <w:rsid w:val="0031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4879"/>
    <w:pPr>
      <w:widowControl w:val="0"/>
      <w:autoSpaceDE w:val="0"/>
      <w:autoSpaceDN w:val="0"/>
      <w:spacing w:after="0" w:line="240" w:lineRule="auto"/>
    </w:pPr>
    <w:rPr>
      <w:rFonts w:ascii="Arial" w:eastAsia="Arial" w:hAnsi="Arial" w:cs="Arial"/>
      <w:lang w:bidi="en-US"/>
    </w:rPr>
  </w:style>
  <w:style w:type="paragraph" w:styleId="Heading7">
    <w:name w:val="heading 7"/>
    <w:basedOn w:val="Normal"/>
    <w:link w:val="Heading7Char"/>
    <w:uiPriority w:val="1"/>
    <w:qFormat/>
    <w:rsid w:val="00024879"/>
    <w:pPr>
      <w:ind w:left="160"/>
      <w:outlineLvl w:val="6"/>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1"/>
    <w:rsid w:val="00024879"/>
    <w:rPr>
      <w:rFonts w:ascii="Arial" w:eastAsia="Arial" w:hAnsi="Arial" w:cs="Arial"/>
      <w:b/>
      <w:bCs/>
      <w:sz w:val="21"/>
      <w:szCs w:val="21"/>
      <w:lang w:bidi="en-US"/>
    </w:rPr>
  </w:style>
  <w:style w:type="paragraph" w:styleId="BodyText">
    <w:name w:val="Body Text"/>
    <w:basedOn w:val="Normal"/>
    <w:link w:val="BodyTextChar"/>
    <w:uiPriority w:val="1"/>
    <w:qFormat/>
    <w:rsid w:val="00024879"/>
    <w:rPr>
      <w:sz w:val="21"/>
      <w:szCs w:val="21"/>
    </w:rPr>
  </w:style>
  <w:style w:type="character" w:customStyle="1" w:styleId="BodyTextChar">
    <w:name w:val="Body Text Char"/>
    <w:basedOn w:val="DefaultParagraphFont"/>
    <w:link w:val="BodyText"/>
    <w:uiPriority w:val="1"/>
    <w:rsid w:val="00024879"/>
    <w:rPr>
      <w:rFonts w:ascii="Arial" w:eastAsia="Arial" w:hAnsi="Arial" w:cs="Arial"/>
      <w:sz w:val="21"/>
      <w:szCs w:val="21"/>
      <w:lang w:bidi="en-US"/>
    </w:rPr>
  </w:style>
  <w:style w:type="paragraph" w:styleId="ListParagraph">
    <w:name w:val="List Paragraph"/>
    <w:basedOn w:val="Normal"/>
    <w:uiPriority w:val="1"/>
    <w:qFormat/>
    <w:rsid w:val="00024879"/>
    <w:pPr>
      <w:spacing w:before="45"/>
      <w:ind w:left="790" w:hanging="2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4879"/>
    <w:pPr>
      <w:widowControl w:val="0"/>
      <w:autoSpaceDE w:val="0"/>
      <w:autoSpaceDN w:val="0"/>
      <w:spacing w:after="0" w:line="240" w:lineRule="auto"/>
    </w:pPr>
    <w:rPr>
      <w:rFonts w:ascii="Arial" w:eastAsia="Arial" w:hAnsi="Arial" w:cs="Arial"/>
      <w:lang w:bidi="en-US"/>
    </w:rPr>
  </w:style>
  <w:style w:type="paragraph" w:styleId="Heading7">
    <w:name w:val="heading 7"/>
    <w:basedOn w:val="Normal"/>
    <w:link w:val="Heading7Char"/>
    <w:uiPriority w:val="1"/>
    <w:qFormat/>
    <w:rsid w:val="00024879"/>
    <w:pPr>
      <w:ind w:left="160"/>
      <w:outlineLvl w:val="6"/>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1"/>
    <w:rsid w:val="00024879"/>
    <w:rPr>
      <w:rFonts w:ascii="Arial" w:eastAsia="Arial" w:hAnsi="Arial" w:cs="Arial"/>
      <w:b/>
      <w:bCs/>
      <w:sz w:val="21"/>
      <w:szCs w:val="21"/>
      <w:lang w:bidi="en-US"/>
    </w:rPr>
  </w:style>
  <w:style w:type="paragraph" w:styleId="BodyText">
    <w:name w:val="Body Text"/>
    <w:basedOn w:val="Normal"/>
    <w:link w:val="BodyTextChar"/>
    <w:uiPriority w:val="1"/>
    <w:qFormat/>
    <w:rsid w:val="00024879"/>
    <w:rPr>
      <w:sz w:val="21"/>
      <w:szCs w:val="21"/>
    </w:rPr>
  </w:style>
  <w:style w:type="character" w:customStyle="1" w:styleId="BodyTextChar">
    <w:name w:val="Body Text Char"/>
    <w:basedOn w:val="DefaultParagraphFont"/>
    <w:link w:val="BodyText"/>
    <w:uiPriority w:val="1"/>
    <w:rsid w:val="00024879"/>
    <w:rPr>
      <w:rFonts w:ascii="Arial" w:eastAsia="Arial" w:hAnsi="Arial" w:cs="Arial"/>
      <w:sz w:val="21"/>
      <w:szCs w:val="21"/>
      <w:lang w:bidi="en-US"/>
    </w:rPr>
  </w:style>
  <w:style w:type="paragraph" w:styleId="ListParagraph">
    <w:name w:val="List Paragraph"/>
    <w:basedOn w:val="Normal"/>
    <w:uiPriority w:val="1"/>
    <w:qFormat/>
    <w:rsid w:val="00024879"/>
    <w:pPr>
      <w:spacing w:before="45"/>
      <w:ind w:left="790" w:hanging="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pkatnik1</dc:creator>
  <cp:lastModifiedBy>pkatnik1</cp:lastModifiedBy>
  <cp:revision>2</cp:revision>
  <dcterms:created xsi:type="dcterms:W3CDTF">2018-07-23T21:38:00Z</dcterms:created>
  <dcterms:modified xsi:type="dcterms:W3CDTF">2018-07-24T20:58:00Z</dcterms:modified>
</cp:coreProperties>
</file>