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3762"/>
        <w:gridCol w:w="3150"/>
        <w:gridCol w:w="7110"/>
      </w:tblGrid>
      <w:tr w:rsidR="00176489" w:rsidRPr="00BB21AF" w:rsidTr="0099244C">
        <w:trPr>
          <w:tblHeader/>
        </w:trPr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How DBDM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73BA1"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 w:rsidR="00E73BA1"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3A3C0D" w:rsidRPr="000E2B18" w:rsidRDefault="003A3C0D" w:rsidP="003A3C0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Learning objectives</w:t>
            </w:r>
          </w:p>
          <w:p w:rsidR="003A3C0D" w:rsidRPr="000E2B18" w:rsidRDefault="003A3C0D" w:rsidP="003A3C0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3A3C0D" w:rsidP="003A3C0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3A3C0D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</w:rPr>
              <w:t>Learning targets</w:t>
            </w:r>
            <w:r w:rsidR="000E2B18">
              <w:rPr>
                <w:rFonts w:ascii="Calibri" w:hAnsi="Calibri" w:cs="Calibri"/>
              </w:rPr>
              <w:t>,</w:t>
            </w:r>
            <w:r w:rsidR="003A3C0D" w:rsidRPr="000E2B18">
              <w:rPr>
                <w:rFonts w:ascii="Calibri" w:hAnsi="Calibri" w:cs="Calibri"/>
              </w:rPr>
              <w:t xml:space="preserve"> </w:t>
            </w:r>
            <w:r w:rsidRPr="000E2B18">
              <w:rPr>
                <w:rFonts w:ascii="Calibri" w:hAnsi="Calibri" w:cs="Calibri"/>
              </w:rPr>
              <w:t>19</w:t>
            </w:r>
          </w:p>
          <w:p w:rsidR="00176489" w:rsidRPr="000E2B18" w:rsidRDefault="00176489" w:rsidP="003A3C0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DBDM process clarification </w:t>
            </w:r>
            <w:r w:rsidR="000E2B18">
              <w:rPr>
                <w:rFonts w:ascii="Calibri" w:hAnsi="Calibri" w:cs="Calibri"/>
              </w:rPr>
              <w:t>and</w:t>
            </w:r>
            <w:r w:rsidRPr="000E2B18">
              <w:rPr>
                <w:rFonts w:ascii="Calibri" w:hAnsi="Calibri" w:cs="Calibri"/>
              </w:rPr>
              <w:t xml:space="preserve"> benefits</w:t>
            </w:r>
            <w:r w:rsidR="000E2B18">
              <w:rPr>
                <w:rFonts w:ascii="Calibri" w:hAnsi="Calibri" w:cs="Calibri"/>
              </w:rPr>
              <w:t>,</w:t>
            </w:r>
            <w:r w:rsidR="003A3C0D" w:rsidRPr="000E2B18">
              <w:rPr>
                <w:rFonts w:ascii="Calibri" w:hAnsi="Calibri" w:cs="Calibri"/>
              </w:rPr>
              <w:t xml:space="preserve"> </w:t>
            </w:r>
            <w:r w:rsidR="000E2B18">
              <w:rPr>
                <w:rFonts w:ascii="Calibri" w:hAnsi="Calibri" w:cs="Calibri"/>
              </w:rPr>
              <w:t>20-</w:t>
            </w:r>
            <w:r w:rsidRPr="000E2B18">
              <w:rPr>
                <w:rFonts w:ascii="Calibri" w:hAnsi="Calibri" w:cs="Calibri"/>
              </w:rPr>
              <w:t>21</w:t>
            </w:r>
          </w:p>
          <w:p w:rsidR="00176489" w:rsidRPr="000E2B18" w:rsidRDefault="00815439" w:rsidP="003A3C0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Consultant preparation</w:t>
            </w:r>
            <w:r w:rsidR="00176489" w:rsidRPr="000E2B18">
              <w:rPr>
                <w:rFonts w:ascii="Calibri" w:hAnsi="Calibri" w:cs="Calibri"/>
              </w:rPr>
              <w:t>, rationale</w:t>
            </w:r>
            <w:r w:rsidR="000E2B18">
              <w:rPr>
                <w:rFonts w:ascii="Calibri" w:hAnsi="Calibri" w:cs="Calibri"/>
              </w:rPr>
              <w:t>, and</w:t>
            </w:r>
            <w:r w:rsidR="00176489" w:rsidRPr="000E2B18">
              <w:rPr>
                <w:rFonts w:ascii="Calibri" w:hAnsi="Calibri" w:cs="Calibri"/>
              </w:rPr>
              <w:t xml:space="preserve"> details</w:t>
            </w:r>
            <w:r w:rsidR="000E2B18">
              <w:rPr>
                <w:rFonts w:ascii="Calibri" w:hAnsi="Calibri" w:cs="Calibri"/>
              </w:rPr>
              <w:t>,</w:t>
            </w:r>
            <w:r w:rsidR="00E73BA1" w:rsidRPr="000E2B18">
              <w:rPr>
                <w:rFonts w:ascii="Calibri" w:hAnsi="Calibri" w:cs="Calibri"/>
              </w:rPr>
              <w:t xml:space="preserve"> </w:t>
            </w:r>
            <w:r w:rsidR="00176489" w:rsidRPr="000E2B18">
              <w:rPr>
                <w:rFonts w:ascii="Calibri" w:hAnsi="Calibri" w:cs="Calibri"/>
              </w:rPr>
              <w:t>1-3</w:t>
            </w:r>
          </w:p>
          <w:p w:rsidR="00176489" w:rsidRPr="000E2B18" w:rsidRDefault="00176489" w:rsidP="003A3C0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Pre-read article</w:t>
            </w:r>
            <w:r w:rsidR="000E2B18">
              <w:rPr>
                <w:rFonts w:ascii="Calibri" w:hAnsi="Calibri" w:cs="Calibri"/>
              </w:rPr>
              <w:t>,</w:t>
            </w:r>
            <w:r w:rsidR="003A3C0D" w:rsidRPr="000E2B18">
              <w:rPr>
                <w:rFonts w:ascii="Calibri" w:hAnsi="Calibri" w:cs="Calibri"/>
              </w:rPr>
              <w:t xml:space="preserve"> </w:t>
            </w:r>
            <w:r w:rsidRPr="000E2B18">
              <w:rPr>
                <w:rFonts w:ascii="Calibri" w:hAnsi="Calibri" w:cs="Calibri"/>
              </w:rPr>
              <w:t>4</w:t>
            </w:r>
          </w:p>
          <w:p w:rsidR="00176489" w:rsidRPr="000E2B18" w:rsidRDefault="00176489" w:rsidP="003A3C0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Participant data request</w:t>
            </w:r>
            <w:r w:rsidR="000E2B18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4</w:t>
            </w:r>
          </w:p>
          <w:p w:rsidR="00176489" w:rsidRPr="000E2B18" w:rsidRDefault="00176489" w:rsidP="00815439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Roadblock Reflection</w:t>
            </w:r>
            <w:r w:rsidR="000E2B18">
              <w:rPr>
                <w:rFonts w:ascii="Calibri" w:hAnsi="Calibri" w:cs="Calibri"/>
              </w:rPr>
              <w:t>,</w:t>
            </w:r>
            <w:r w:rsidR="00815439">
              <w:rPr>
                <w:rFonts w:ascii="Calibri" w:hAnsi="Calibri" w:cs="Calibri"/>
              </w:rPr>
              <w:t xml:space="preserve"> 23</w:t>
            </w:r>
          </w:p>
        </w:tc>
      </w:tr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E73BA1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  <w:r w:rsidR="000E2B18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17</w:t>
            </w:r>
          </w:p>
          <w:p w:rsidR="00176489" w:rsidRPr="000E2B18" w:rsidRDefault="00176489" w:rsidP="00E73BA1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Welcome </w:t>
            </w:r>
            <w:r w:rsidR="000E2B18">
              <w:rPr>
                <w:rFonts w:ascii="Calibri" w:hAnsi="Calibri" w:cs="Calibri"/>
              </w:rPr>
              <w:t>and</w:t>
            </w:r>
            <w:r w:rsidRPr="000E2B18">
              <w:rPr>
                <w:rFonts w:ascii="Calibri" w:hAnsi="Calibri" w:cs="Calibri"/>
              </w:rPr>
              <w:t xml:space="preserve"> </w:t>
            </w:r>
            <w:r w:rsidR="00815439">
              <w:rPr>
                <w:rFonts w:ascii="Calibri" w:hAnsi="Calibri" w:cs="Calibri"/>
              </w:rPr>
              <w:t>i</w:t>
            </w:r>
            <w:r w:rsidRPr="000E2B18">
              <w:rPr>
                <w:rFonts w:ascii="Calibri" w:hAnsi="Calibri" w:cs="Calibri"/>
              </w:rPr>
              <w:t>ntroductions</w:t>
            </w:r>
            <w:r w:rsidR="000E2B18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11  </w:t>
            </w:r>
          </w:p>
          <w:p w:rsidR="00176489" w:rsidRPr="000E2B18" w:rsidRDefault="00176489" w:rsidP="00E73BA1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DBDM </w:t>
            </w:r>
            <w:r w:rsidR="000E2B18">
              <w:rPr>
                <w:rFonts w:ascii="Calibri" w:hAnsi="Calibri" w:cs="Calibri"/>
              </w:rPr>
              <w:t>e</w:t>
            </w:r>
            <w:r w:rsidRPr="000E2B18">
              <w:rPr>
                <w:rFonts w:ascii="Calibri" w:hAnsi="Calibri" w:cs="Calibri"/>
              </w:rPr>
              <w:t>ssential questions</w:t>
            </w:r>
            <w:r w:rsidR="000E2B18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18</w:t>
            </w:r>
          </w:p>
          <w:p w:rsidR="00176489" w:rsidRPr="000E2B18" w:rsidRDefault="00176489" w:rsidP="00E73BA1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  <w:r w:rsidR="000E2B18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12</w:t>
            </w:r>
          </w:p>
          <w:p w:rsidR="00176489" w:rsidRPr="000E2B18" w:rsidRDefault="00176489" w:rsidP="008E24AE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</w:rPr>
              <w:t>Pre-assessment for DBDM ca</w:t>
            </w:r>
            <w:r w:rsidR="000E2B18">
              <w:rPr>
                <w:rFonts w:ascii="Calibri" w:hAnsi="Calibri" w:cs="Calibri"/>
              </w:rPr>
              <w:t>n be accessed via online module</w:t>
            </w:r>
          </w:p>
        </w:tc>
      </w:tr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0E2B18" w:rsidRDefault="00176489" w:rsidP="000E2B18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DBDM alignment with MO learning standards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15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DBDM alignment with MO teacher standards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16</w:t>
            </w:r>
          </w:p>
          <w:p w:rsidR="00176489" w:rsidRPr="000E2B18" w:rsidRDefault="00176489" w:rsidP="00815439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Benefits of DBDM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21</w:t>
            </w:r>
          </w:p>
        </w:tc>
      </w:tr>
      <w:tr w:rsidR="00176489" w:rsidRPr="000E2B18" w:rsidTr="0099244C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B18" w:rsidRDefault="00815439" w:rsidP="000E2B18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GAINS</w:t>
            </w:r>
            <w:r w:rsidR="00176489" w:rsidRPr="000E2B18">
              <w:rPr>
                <w:rFonts w:ascii="Calibri" w:hAnsi="Calibri" w:cs="Calibri"/>
              </w:rPr>
              <w:t xml:space="preserve"> graphic provides core concepts of the module</w:t>
            </w:r>
            <w:r>
              <w:rPr>
                <w:rFonts w:ascii="Calibri" w:hAnsi="Calibri" w:cs="Calibri"/>
              </w:rPr>
              <w:t>,</w:t>
            </w:r>
            <w:r w:rsidR="00176489" w:rsidRPr="000E2B18">
              <w:rPr>
                <w:rFonts w:ascii="Calibri" w:hAnsi="Calibri" w:cs="Calibri"/>
              </w:rPr>
              <w:t xml:space="preserve"> 24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DBDM </w:t>
            </w:r>
            <w:r w:rsidR="00815439">
              <w:rPr>
                <w:rFonts w:ascii="Calibri" w:hAnsi="Calibri" w:cs="Calibri"/>
              </w:rPr>
              <w:t>k</w:t>
            </w:r>
            <w:r w:rsidRPr="000E2B18">
              <w:rPr>
                <w:rFonts w:ascii="Calibri" w:hAnsi="Calibri" w:cs="Calibri"/>
              </w:rPr>
              <w:t>ey terms and definitions</w:t>
            </w:r>
            <w:r w:rsidR="00815439">
              <w:rPr>
                <w:rFonts w:ascii="Calibri" w:hAnsi="Calibri" w:cs="Calibri"/>
              </w:rPr>
              <w:t xml:space="preserve">, </w:t>
            </w:r>
            <w:r w:rsidRPr="000E2B18">
              <w:rPr>
                <w:rFonts w:ascii="Calibri" w:hAnsi="Calibri" w:cs="Calibri"/>
              </w:rPr>
              <w:t xml:space="preserve">5-7 </w:t>
            </w:r>
            <w:r w:rsidR="00815439">
              <w:rPr>
                <w:rFonts w:ascii="Calibri" w:hAnsi="Calibri" w:cs="Calibri"/>
              </w:rPr>
              <w:t>(also in workbook)</w:t>
            </w:r>
          </w:p>
          <w:p w:rsidR="00176489" w:rsidRPr="000E2B18" w:rsidRDefault="00176489" w:rsidP="0081543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DBDM Practice Profile provides implementation examples</w:t>
            </w:r>
            <w:r w:rsidR="00815439">
              <w:rPr>
                <w:rFonts w:ascii="Calibri" w:hAnsi="Calibri" w:cs="Calibri"/>
              </w:rPr>
              <w:t xml:space="preserve">, </w:t>
            </w:r>
            <w:r w:rsidRPr="000E2B18">
              <w:rPr>
                <w:rFonts w:ascii="Calibri" w:hAnsi="Calibri" w:cs="Calibri"/>
              </w:rPr>
              <w:t xml:space="preserve">27, 35, 48, 59  </w:t>
            </w:r>
          </w:p>
        </w:tc>
      </w:tr>
      <w:tr w:rsidR="00176489" w:rsidRPr="000E2B18" w:rsidTr="0099244C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439" w:rsidRDefault="00176489" w:rsidP="00815439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Each of the DBDM Practice Profile essential functions and indicators are discussed in detail along with their purpose, steps for implementation, and possible roadblocks</w:t>
            </w:r>
            <w:r w:rsidR="00815439">
              <w:rPr>
                <w:rFonts w:ascii="Calibri" w:hAnsi="Calibri" w:cs="Calibri"/>
              </w:rPr>
              <w:t>,</w:t>
            </w:r>
            <w:r w:rsidRPr="00815439">
              <w:rPr>
                <w:rFonts w:ascii="Calibri" w:hAnsi="Calibri" w:cs="Calibri"/>
              </w:rPr>
              <w:t xml:space="preserve"> 27-33, 35-45, 48-57, 59-65</w:t>
            </w:r>
          </w:p>
          <w:p w:rsidR="00176489" w:rsidRPr="00815439" w:rsidRDefault="00176489" w:rsidP="00815439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Overall possible roadblocks to DBDM implementation</w:t>
            </w:r>
            <w:r w:rsidR="00815439">
              <w:rPr>
                <w:rFonts w:ascii="Calibri" w:hAnsi="Calibri" w:cs="Calibri"/>
              </w:rPr>
              <w:t>,</w:t>
            </w:r>
            <w:r w:rsidRPr="00815439">
              <w:rPr>
                <w:rFonts w:ascii="Calibri" w:hAnsi="Calibri" w:cs="Calibri"/>
              </w:rPr>
              <w:t xml:space="preserve"> 23 </w:t>
            </w:r>
          </w:p>
        </w:tc>
      </w:tr>
      <w:tr w:rsidR="00176489" w:rsidRPr="000E2B18" w:rsidTr="00663084">
        <w:trPr>
          <w:trHeight w:val="4727"/>
        </w:trPr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0E2B18" w:rsidRDefault="00176489" w:rsidP="000E2B18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implementation during unpacking of essential functions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27-33, 35-45, 48-57, 59-65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Participants will engage in activities to experience the DBDM process and have discussions regarding implementation in their </w:t>
            </w:r>
            <w:r w:rsidR="00815439">
              <w:rPr>
                <w:rFonts w:ascii="Calibri" w:hAnsi="Calibri" w:cs="Calibri"/>
              </w:rPr>
              <w:t xml:space="preserve">actual school setting, </w:t>
            </w:r>
            <w:r w:rsidRPr="000E2B18">
              <w:rPr>
                <w:rFonts w:ascii="Calibri" w:hAnsi="Calibri" w:cs="Calibri"/>
              </w:rPr>
              <w:t>34, 47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The workbook that accompanies this module provides guided practice and application opportunities throughout the module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Participants will be given opportunities to view &amp; discuss videos illustrating implementation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46, 58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The DBDM Practice Profile will be used to measure fidelity of implementation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27, 35, 48, 59  </w:t>
            </w:r>
          </w:p>
          <w:p w:rsidR="00176489" w:rsidRPr="000E2B18" w:rsidRDefault="00176489" w:rsidP="00815439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The key message in the module is the use of data to inform instructional decisions. Learners will have an opportunity to </w:t>
            </w:r>
            <w:r w:rsidR="002E717A" w:rsidRPr="000E2B18">
              <w:rPr>
                <w:rFonts w:ascii="Calibri" w:hAnsi="Calibri" w:cs="Calibri"/>
              </w:rPr>
              <w:t>examine</w:t>
            </w:r>
            <w:r w:rsidRPr="000E2B18">
              <w:rPr>
                <w:rFonts w:ascii="Calibri" w:hAnsi="Calibri" w:cs="Calibri"/>
              </w:rPr>
              <w:t xml:space="preserve"> data to make decisions about future instructional practice</w:t>
            </w:r>
            <w:r w:rsidR="00815439">
              <w:rPr>
                <w:rFonts w:ascii="Calibri" w:hAnsi="Calibri" w:cs="Calibri"/>
              </w:rPr>
              <w:t>,</w:t>
            </w:r>
            <w:r w:rsidRPr="000E2B18">
              <w:rPr>
                <w:rFonts w:ascii="Calibri" w:hAnsi="Calibri" w:cs="Calibri"/>
              </w:rPr>
              <w:t xml:space="preserve"> 34, 47</w:t>
            </w:r>
            <w:r w:rsidR="002E717A" w:rsidRPr="000E2B18">
              <w:rPr>
                <w:rFonts w:ascii="Calibri" w:hAnsi="Calibri" w:cs="Calibri"/>
              </w:rPr>
              <w:t xml:space="preserve"> </w:t>
            </w:r>
            <w:r w:rsidR="00815439">
              <w:rPr>
                <w:rFonts w:ascii="Calibri" w:hAnsi="Calibri" w:cs="Calibri"/>
              </w:rPr>
              <w:t>(</w:t>
            </w:r>
            <w:r w:rsidR="002E717A" w:rsidRPr="000E2B18">
              <w:rPr>
                <w:rFonts w:ascii="Calibri" w:hAnsi="Calibri" w:cs="Calibri"/>
              </w:rPr>
              <w:t xml:space="preserve">and </w:t>
            </w:r>
            <w:r w:rsidRPr="000E2B18">
              <w:rPr>
                <w:rFonts w:ascii="Calibri" w:hAnsi="Calibri" w:cs="Calibri"/>
              </w:rPr>
              <w:t>supporting workbook</w:t>
            </w:r>
            <w:r w:rsidR="00815439">
              <w:rPr>
                <w:rFonts w:ascii="Calibri" w:hAnsi="Calibri" w:cs="Calibri"/>
              </w:rPr>
              <w:t>)</w:t>
            </w:r>
          </w:p>
        </w:tc>
      </w:tr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0E2B18" w:rsidRDefault="00176489" w:rsidP="000E2B18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Learners will design the mock DBDM meeting and data analysis process to replicate their classroom situation</w:t>
            </w:r>
            <w:r w:rsidR="00815439">
              <w:rPr>
                <w:rFonts w:ascii="Calibri" w:hAnsi="Calibri" w:cs="Calibri"/>
              </w:rPr>
              <w:t>,</w:t>
            </w:r>
            <w:r w:rsidR="002E717A" w:rsidRPr="000E2B18">
              <w:rPr>
                <w:rFonts w:ascii="Calibri" w:hAnsi="Calibri" w:cs="Calibri"/>
              </w:rPr>
              <w:t xml:space="preserve"> </w:t>
            </w:r>
            <w:r w:rsidRPr="000E2B18">
              <w:rPr>
                <w:rFonts w:ascii="Calibri" w:hAnsi="Calibri" w:cs="Calibri"/>
              </w:rPr>
              <w:t>34, 47 (with supporting workbook)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A protocol for data review will be determined and a specific instructional action plan will be developed based on data reviewed during the DBDM process</w:t>
            </w:r>
            <w:r w:rsidR="00815439">
              <w:rPr>
                <w:rFonts w:ascii="Calibri" w:hAnsi="Calibri" w:cs="Calibri"/>
              </w:rPr>
              <w:t>,</w:t>
            </w:r>
            <w:r w:rsidR="002E717A" w:rsidRPr="000E2B18">
              <w:rPr>
                <w:rFonts w:ascii="Calibri" w:hAnsi="Calibri" w:cs="Calibri"/>
              </w:rPr>
              <w:t xml:space="preserve"> </w:t>
            </w:r>
            <w:r w:rsidRPr="000E2B18">
              <w:rPr>
                <w:rFonts w:ascii="Calibri" w:hAnsi="Calibri" w:cs="Calibri"/>
              </w:rPr>
              <w:t>34, 47 (with supporting workbook)</w:t>
            </w:r>
          </w:p>
          <w:p w:rsidR="00176489" w:rsidRPr="000E2B18" w:rsidRDefault="00176489" w:rsidP="00815439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Participants will have multiple opportunities to discuss roadblocks to DBDM while connecting their new learning to solutions for overcoming these obstacles</w:t>
            </w:r>
            <w:r w:rsidR="00815439">
              <w:rPr>
                <w:rFonts w:ascii="Calibri" w:hAnsi="Calibri" w:cs="Calibri"/>
              </w:rPr>
              <w:t>,</w:t>
            </w:r>
            <w:r w:rsidR="002E717A" w:rsidRPr="000E2B18">
              <w:rPr>
                <w:rFonts w:ascii="Calibri" w:hAnsi="Calibri" w:cs="Calibri"/>
              </w:rPr>
              <w:t xml:space="preserve"> </w:t>
            </w:r>
            <w:r w:rsidRPr="000E2B18">
              <w:rPr>
                <w:rFonts w:ascii="Calibri" w:hAnsi="Calibri" w:cs="Calibri"/>
              </w:rPr>
              <w:t>27-33, 35-45, 48-57, 59-65</w:t>
            </w:r>
          </w:p>
        </w:tc>
      </w:tr>
    </w:tbl>
    <w:p w:rsidR="0099244C" w:rsidRDefault="0099244C">
      <w:r>
        <w:br w:type="page"/>
      </w:r>
    </w:p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3762"/>
        <w:gridCol w:w="3150"/>
        <w:gridCol w:w="7110"/>
      </w:tblGrid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0E2B18" w:rsidRDefault="00176489" w:rsidP="000E2B18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opportunities are provided throughout the unpacking and practice portions of the module</w:t>
            </w:r>
            <w:r w:rsidR="00815439">
              <w:rPr>
                <w:rFonts w:ascii="Calibri" w:hAnsi="Calibri" w:cs="Calibri"/>
              </w:rPr>
              <w:t xml:space="preserve">, </w:t>
            </w:r>
            <w:r w:rsidRPr="000E2B18">
              <w:rPr>
                <w:rFonts w:ascii="Calibri" w:hAnsi="Calibri" w:cs="Calibri"/>
              </w:rPr>
              <w:t>27 -33, 35-45, 48-57, 59-65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The DBDM workbook poses </w:t>
            </w:r>
            <w:r w:rsidR="00815439">
              <w:rPr>
                <w:rFonts w:ascii="Calibri" w:hAnsi="Calibri" w:cs="Calibri"/>
              </w:rPr>
              <w:t>additional reflection questions</w:t>
            </w:r>
          </w:p>
          <w:p w:rsidR="000E2B18" w:rsidRDefault="00176489" w:rsidP="000E2B18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Participants are provided opportunities to demonstrate their understanding of the DBDM process through mock DBDM scenarios</w:t>
            </w:r>
            <w:r w:rsidR="00815439">
              <w:rPr>
                <w:rFonts w:ascii="Calibri" w:hAnsi="Calibri" w:cs="Calibri"/>
              </w:rPr>
              <w:t xml:space="preserve">, </w:t>
            </w:r>
            <w:r w:rsidRPr="000E2B18">
              <w:rPr>
                <w:rFonts w:ascii="Calibri" w:hAnsi="Calibri" w:cs="Calibri"/>
              </w:rPr>
              <w:t xml:space="preserve">34, 47 </w:t>
            </w:r>
            <w:r w:rsidR="00815439">
              <w:rPr>
                <w:rFonts w:ascii="Calibri" w:hAnsi="Calibri" w:cs="Calibri"/>
              </w:rPr>
              <w:t>(</w:t>
            </w:r>
            <w:r w:rsidR="002E717A" w:rsidRPr="000E2B18">
              <w:rPr>
                <w:rFonts w:ascii="Calibri" w:hAnsi="Calibri" w:cs="Calibri"/>
              </w:rPr>
              <w:t>and</w:t>
            </w:r>
            <w:r w:rsidRPr="000E2B18">
              <w:rPr>
                <w:rFonts w:ascii="Calibri" w:hAnsi="Calibri" w:cs="Calibri"/>
              </w:rPr>
              <w:t xml:space="preserve"> supporting workbook</w:t>
            </w:r>
            <w:r w:rsidR="00815439">
              <w:rPr>
                <w:rFonts w:ascii="Calibri" w:hAnsi="Calibri" w:cs="Calibri"/>
              </w:rPr>
              <w:t>)</w:t>
            </w:r>
          </w:p>
          <w:p w:rsidR="00176489" w:rsidRPr="00F65541" w:rsidRDefault="00176489" w:rsidP="002960AC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DBDM post assessment is available online</w:t>
            </w:r>
          </w:p>
        </w:tc>
      </w:tr>
      <w:tr w:rsidR="00176489" w:rsidRPr="000E2B18" w:rsidTr="00663084">
        <w:tc>
          <w:tcPr>
            <w:tcW w:w="37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315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71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815439" w:rsidRDefault="00176489" w:rsidP="00815439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Next steps are discussed and a template is provided for recording implementation steps to be ta</w:t>
            </w:r>
            <w:r w:rsidR="002E717A" w:rsidRPr="00815439">
              <w:rPr>
                <w:rFonts w:ascii="Calibri" w:hAnsi="Calibri" w:cs="Calibri"/>
              </w:rPr>
              <w:t>ken</w:t>
            </w:r>
            <w:r w:rsidR="00F65541">
              <w:rPr>
                <w:rFonts w:ascii="Calibri" w:hAnsi="Calibri" w:cs="Calibri"/>
              </w:rPr>
              <w:t>,</w:t>
            </w:r>
            <w:r w:rsidR="002E717A" w:rsidRPr="00815439">
              <w:rPr>
                <w:rFonts w:ascii="Calibri" w:hAnsi="Calibri" w:cs="Calibri"/>
              </w:rPr>
              <w:t xml:space="preserve"> </w:t>
            </w:r>
            <w:r w:rsidRPr="00815439">
              <w:rPr>
                <w:rFonts w:ascii="Calibri" w:hAnsi="Calibri" w:cs="Calibri"/>
              </w:rPr>
              <w:t xml:space="preserve">66  </w:t>
            </w:r>
          </w:p>
          <w:p w:rsidR="00176489" w:rsidRPr="00815439" w:rsidRDefault="00176489" w:rsidP="00815439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Templates/samples are pr</w:t>
            </w:r>
            <w:r w:rsidR="00F65541">
              <w:rPr>
                <w:rFonts w:ascii="Calibri" w:hAnsi="Calibri" w:cs="Calibri"/>
              </w:rPr>
              <w:t>ovided in the DBDM workbook for</w:t>
            </w:r>
          </w:p>
          <w:p w:rsidR="00176489" w:rsidRPr="000E2B18" w:rsidRDefault="00176489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Data Team Guidelines</w:t>
            </w:r>
          </w:p>
          <w:p w:rsidR="00176489" w:rsidRPr="000E2B18" w:rsidRDefault="00176489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Data Team Protocol</w:t>
            </w:r>
          </w:p>
          <w:p w:rsidR="00176489" w:rsidRPr="000E2B18" w:rsidRDefault="00176489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Data Team Agenda</w:t>
            </w:r>
          </w:p>
          <w:p w:rsidR="00176489" w:rsidRPr="000E2B18" w:rsidRDefault="002E717A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Data Analysis</w:t>
            </w:r>
            <w:r w:rsidR="00176489" w:rsidRPr="000E2B18">
              <w:rPr>
                <w:rFonts w:ascii="Calibri" w:hAnsi="Calibri" w:cs="Calibri"/>
              </w:rPr>
              <w:t xml:space="preserve"> Form</w:t>
            </w:r>
          </w:p>
          <w:p w:rsidR="00176489" w:rsidRPr="000E2B18" w:rsidRDefault="00176489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Link to teacher practice questions</w:t>
            </w:r>
          </w:p>
          <w:p w:rsidR="00176489" w:rsidRPr="000E2B18" w:rsidRDefault="00176489" w:rsidP="00F65541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DBDM Instructional Action Plan</w:t>
            </w:r>
          </w:p>
          <w:p w:rsidR="00F65541" w:rsidRDefault="00176489" w:rsidP="00F65541">
            <w:pPr>
              <w:pStyle w:val="ListParagraph"/>
              <w:numPr>
                <w:ilvl w:val="0"/>
                <w:numId w:val="41"/>
              </w:numPr>
              <w:spacing w:after="160"/>
              <w:rPr>
                <w:rFonts w:ascii="Calibri" w:hAnsi="Calibri" w:cs="Calibri"/>
              </w:rPr>
            </w:pPr>
            <w:r w:rsidRPr="00F65541">
              <w:rPr>
                <w:rFonts w:ascii="Calibri" w:hAnsi="Calibri" w:cs="Calibri"/>
              </w:rPr>
              <w:t>Follow up coaching</w:t>
            </w:r>
            <w:r w:rsidR="00F65541">
              <w:rPr>
                <w:rFonts w:ascii="Calibri" w:hAnsi="Calibri" w:cs="Calibri"/>
              </w:rPr>
              <w:t xml:space="preserve">, </w:t>
            </w:r>
            <w:r w:rsidRPr="00F65541">
              <w:rPr>
                <w:rFonts w:ascii="Calibri" w:hAnsi="Calibri" w:cs="Calibri"/>
              </w:rPr>
              <w:t>65</w:t>
            </w:r>
          </w:p>
          <w:p w:rsidR="00176489" w:rsidRPr="00F65541" w:rsidRDefault="00176489" w:rsidP="00F65541">
            <w:pPr>
              <w:pStyle w:val="ListParagraph"/>
              <w:numPr>
                <w:ilvl w:val="0"/>
                <w:numId w:val="41"/>
              </w:numPr>
              <w:spacing w:after="160"/>
              <w:rPr>
                <w:rFonts w:ascii="Calibri" w:hAnsi="Calibri" w:cs="Calibri"/>
              </w:rPr>
            </w:pPr>
            <w:r w:rsidRPr="00F65541">
              <w:rPr>
                <w:rFonts w:ascii="Calibri" w:hAnsi="Calibri" w:cs="Calibri"/>
              </w:rPr>
              <w:t>The DBDM Coaching Companion provides numerous additional resources for further learning</w:t>
            </w:r>
          </w:p>
        </w:tc>
      </w:tr>
    </w:tbl>
    <w:p w:rsidR="00C00CE9" w:rsidRPr="000E2B18" w:rsidRDefault="00C00CE9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2A" w:rsidRDefault="0007182A" w:rsidP="00FC2E45">
      <w:pPr>
        <w:spacing w:line="240" w:lineRule="auto"/>
      </w:pPr>
      <w:r>
        <w:separator/>
      </w:r>
    </w:p>
  </w:endnote>
  <w:endnote w:type="continuationSeparator" w:id="0">
    <w:p w:rsidR="0007182A" w:rsidRDefault="0007182A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Missouri SPDG/</w:t>
    </w:r>
    <w:r w:rsidR="000E2B18" w:rsidRPr="000E2B18">
      <w:rPr>
        <w:rFonts w:ascii="Calibri" w:hAnsi="Calibri" w:cs="Calibri"/>
        <w:sz w:val="20"/>
        <w:szCs w:val="20"/>
      </w:rPr>
      <w:t>DCI</w:t>
    </w:r>
    <w:r w:rsidRPr="000E2B18">
      <w:rPr>
        <w:rFonts w:ascii="Calibri" w:hAnsi="Calibri" w:cs="Calibri"/>
        <w:sz w:val="20"/>
        <w:szCs w:val="20"/>
      </w:rPr>
      <w:ptab w:relativeTo="margin" w:alignment="center" w:leader="none"/>
    </w:r>
    <w:r w:rsidRPr="000E2B18">
      <w:rPr>
        <w:rFonts w:ascii="Calibri" w:hAnsi="Calibri" w:cs="Calibri"/>
        <w:sz w:val="20"/>
        <w:szCs w:val="20"/>
      </w:rPr>
      <w:ptab w:relativeTo="margin" w:alignment="right" w:leader="none"/>
    </w:r>
    <w:r w:rsidRPr="000E2B18">
      <w:rPr>
        <w:rFonts w:ascii="Calibri" w:hAnsi="Calibri" w:cs="Calibri"/>
        <w:sz w:val="20"/>
        <w:szCs w:val="20"/>
      </w:rPr>
      <w:t>Data-Based Decision Making</w:t>
    </w:r>
    <w:r w:rsidR="00F65541">
      <w:rPr>
        <w:rFonts w:ascii="Calibri" w:hAnsi="Calibri" w:cs="Calibri"/>
        <w:sz w:val="20"/>
        <w:szCs w:val="20"/>
      </w:rPr>
      <w:t xml:space="preserve"> 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663084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2A" w:rsidRDefault="0007182A" w:rsidP="00FC2E45">
      <w:pPr>
        <w:spacing w:line="240" w:lineRule="auto"/>
      </w:pPr>
      <w:r>
        <w:separator/>
      </w:r>
    </w:p>
  </w:footnote>
  <w:footnote w:type="continuationSeparator" w:id="0">
    <w:p w:rsidR="0007182A" w:rsidRDefault="0007182A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294870" w:rsidP="00294870">
    <w:pPr>
      <w:pStyle w:val="Header"/>
      <w:jc w:val="center"/>
      <w:rPr>
        <w:rFonts w:ascii="Calibri" w:hAnsi="Calibri" w:cs="Calibri"/>
        <w:b/>
        <w:sz w:val="26"/>
      </w:rPr>
    </w:pPr>
    <w:r w:rsidRPr="009E47CD">
      <w:rPr>
        <w:rFonts w:ascii="Calibri" w:hAnsi="Calibri" w:cs="Calibri"/>
        <w:b/>
        <w:sz w:val="26"/>
      </w:rPr>
      <w:t xml:space="preserve">Data-Based Decision Making Fidelity Checklist 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30"/>
  </w:num>
  <w:num w:numId="6">
    <w:abstractNumId w:val="25"/>
  </w:num>
  <w:num w:numId="7">
    <w:abstractNumId w:val="31"/>
  </w:num>
  <w:num w:numId="8">
    <w:abstractNumId w:val="21"/>
  </w:num>
  <w:num w:numId="9">
    <w:abstractNumId w:val="16"/>
  </w:num>
  <w:num w:numId="10">
    <w:abstractNumId w:val="34"/>
  </w:num>
  <w:num w:numId="11">
    <w:abstractNumId w:val="20"/>
  </w:num>
  <w:num w:numId="12">
    <w:abstractNumId w:val="26"/>
  </w:num>
  <w:num w:numId="13">
    <w:abstractNumId w:val="7"/>
  </w:num>
  <w:num w:numId="14">
    <w:abstractNumId w:val="22"/>
  </w:num>
  <w:num w:numId="15">
    <w:abstractNumId w:val="6"/>
  </w:num>
  <w:num w:numId="16">
    <w:abstractNumId w:val="2"/>
  </w:num>
  <w:num w:numId="17">
    <w:abstractNumId w:val="0"/>
  </w:num>
  <w:num w:numId="18">
    <w:abstractNumId w:val="19"/>
  </w:num>
  <w:num w:numId="19">
    <w:abstractNumId w:val="27"/>
  </w:num>
  <w:num w:numId="20">
    <w:abstractNumId w:val="4"/>
  </w:num>
  <w:num w:numId="21">
    <w:abstractNumId w:val="1"/>
  </w:num>
  <w:num w:numId="22">
    <w:abstractNumId w:val="12"/>
  </w:num>
  <w:num w:numId="23">
    <w:abstractNumId w:val="5"/>
  </w:num>
  <w:num w:numId="24">
    <w:abstractNumId w:val="32"/>
  </w:num>
  <w:num w:numId="25">
    <w:abstractNumId w:val="35"/>
  </w:num>
  <w:num w:numId="26">
    <w:abstractNumId w:val="9"/>
  </w:num>
  <w:num w:numId="27">
    <w:abstractNumId w:val="24"/>
  </w:num>
  <w:num w:numId="28">
    <w:abstractNumId w:val="10"/>
  </w:num>
  <w:num w:numId="29">
    <w:abstractNumId w:val="36"/>
  </w:num>
  <w:num w:numId="30">
    <w:abstractNumId w:val="40"/>
  </w:num>
  <w:num w:numId="31">
    <w:abstractNumId w:val="11"/>
  </w:num>
  <w:num w:numId="32">
    <w:abstractNumId w:val="28"/>
  </w:num>
  <w:num w:numId="33">
    <w:abstractNumId w:val="39"/>
  </w:num>
  <w:num w:numId="34">
    <w:abstractNumId w:val="37"/>
  </w:num>
  <w:num w:numId="35">
    <w:abstractNumId w:val="29"/>
  </w:num>
  <w:num w:numId="36">
    <w:abstractNumId w:val="33"/>
  </w:num>
  <w:num w:numId="37">
    <w:abstractNumId w:val="14"/>
  </w:num>
  <w:num w:numId="38">
    <w:abstractNumId w:val="15"/>
  </w:num>
  <w:num w:numId="39">
    <w:abstractNumId w:val="23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E9"/>
    <w:rsid w:val="00003792"/>
    <w:rsid w:val="000151F3"/>
    <w:rsid w:val="0007182A"/>
    <w:rsid w:val="000A4CE0"/>
    <w:rsid w:val="000E2B18"/>
    <w:rsid w:val="00176489"/>
    <w:rsid w:val="00294870"/>
    <w:rsid w:val="00295591"/>
    <w:rsid w:val="002960AC"/>
    <w:rsid w:val="002E717A"/>
    <w:rsid w:val="003108ED"/>
    <w:rsid w:val="003969CB"/>
    <w:rsid w:val="003A3C0D"/>
    <w:rsid w:val="003F3FF6"/>
    <w:rsid w:val="00414628"/>
    <w:rsid w:val="004466C2"/>
    <w:rsid w:val="00483E48"/>
    <w:rsid w:val="00501FBB"/>
    <w:rsid w:val="00537AA3"/>
    <w:rsid w:val="00612208"/>
    <w:rsid w:val="006332C9"/>
    <w:rsid w:val="006428F1"/>
    <w:rsid w:val="00663084"/>
    <w:rsid w:val="00671B57"/>
    <w:rsid w:val="006A6968"/>
    <w:rsid w:val="00705500"/>
    <w:rsid w:val="0074709D"/>
    <w:rsid w:val="007E3EE3"/>
    <w:rsid w:val="00810B69"/>
    <w:rsid w:val="00815439"/>
    <w:rsid w:val="008456E6"/>
    <w:rsid w:val="00895761"/>
    <w:rsid w:val="008E24AE"/>
    <w:rsid w:val="008F4FE3"/>
    <w:rsid w:val="0096264F"/>
    <w:rsid w:val="0099244C"/>
    <w:rsid w:val="009A4F95"/>
    <w:rsid w:val="009C51F6"/>
    <w:rsid w:val="009E47CD"/>
    <w:rsid w:val="00A16D8A"/>
    <w:rsid w:val="00A95823"/>
    <w:rsid w:val="00AA3258"/>
    <w:rsid w:val="00BB21AF"/>
    <w:rsid w:val="00C00CE9"/>
    <w:rsid w:val="00C6761A"/>
    <w:rsid w:val="00D87DE6"/>
    <w:rsid w:val="00DE7B5C"/>
    <w:rsid w:val="00E73BA1"/>
    <w:rsid w:val="00E73FEE"/>
    <w:rsid w:val="00E85F8A"/>
    <w:rsid w:val="00EF0806"/>
    <w:rsid w:val="00EF790F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Chelie A Nelson</cp:lastModifiedBy>
  <cp:revision>2</cp:revision>
  <dcterms:created xsi:type="dcterms:W3CDTF">2020-06-04T15:09:00Z</dcterms:created>
  <dcterms:modified xsi:type="dcterms:W3CDTF">2020-06-04T15:09:00Z</dcterms:modified>
</cp:coreProperties>
</file>