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B" w:rsidRDefault="005D22E5" w:rsidP="005D22E5">
      <w:pPr>
        <w:pStyle w:val="NoSpacing"/>
        <w:jc w:val="center"/>
        <w:rPr>
          <w:sz w:val="28"/>
          <w:szCs w:val="28"/>
        </w:rPr>
      </w:pPr>
      <w:r>
        <w:rPr>
          <w:sz w:val="28"/>
          <w:szCs w:val="28"/>
        </w:rPr>
        <w:t>Collaborative Work</w:t>
      </w:r>
    </w:p>
    <w:p w:rsidR="00007ACA" w:rsidRDefault="00EF40E1" w:rsidP="005D22E5">
      <w:pPr>
        <w:pStyle w:val="NoSpacing"/>
        <w:jc w:val="center"/>
        <w:rPr>
          <w:sz w:val="24"/>
          <w:szCs w:val="24"/>
        </w:rPr>
      </w:pPr>
      <w:r>
        <w:rPr>
          <w:sz w:val="24"/>
          <w:szCs w:val="24"/>
        </w:rPr>
        <w:t>Three Categories of Learning Packages</w:t>
      </w:r>
    </w:p>
    <w:p w:rsidR="00EF40E1" w:rsidRPr="00EF40E1" w:rsidRDefault="00EF40E1" w:rsidP="005D22E5">
      <w:pPr>
        <w:pStyle w:val="NoSpacing"/>
        <w:jc w:val="center"/>
        <w:rPr>
          <w:sz w:val="20"/>
          <w:szCs w:val="20"/>
        </w:rPr>
      </w:pPr>
      <w:r w:rsidRPr="00EF40E1">
        <w:rPr>
          <w:sz w:val="20"/>
          <w:szCs w:val="20"/>
        </w:rPr>
        <w:t>(Aligns with the Bookshelf Graphic)</w:t>
      </w:r>
    </w:p>
    <w:p w:rsidR="0033427B" w:rsidRDefault="0033427B" w:rsidP="0033427B">
      <w:pPr>
        <w:pStyle w:val="NoSpacing"/>
        <w:rPr>
          <w:sz w:val="24"/>
          <w:szCs w:val="24"/>
        </w:rPr>
      </w:pPr>
    </w:p>
    <w:tbl>
      <w:tblPr>
        <w:tblStyle w:val="TableGrid"/>
        <w:tblW w:w="0" w:type="auto"/>
        <w:tblLook w:val="04A0" w:firstRow="1" w:lastRow="0" w:firstColumn="1" w:lastColumn="0" w:noHBand="0" w:noVBand="1"/>
      </w:tblPr>
      <w:tblGrid>
        <w:gridCol w:w="3384"/>
        <w:gridCol w:w="1224"/>
        <w:gridCol w:w="4742"/>
      </w:tblGrid>
      <w:tr w:rsidR="0033427B" w:rsidTr="00007ACA">
        <w:trPr>
          <w:trHeight w:val="881"/>
        </w:trPr>
        <w:tc>
          <w:tcPr>
            <w:tcW w:w="9350" w:type="dxa"/>
            <w:gridSpan w:val="3"/>
            <w:shd w:val="clear" w:color="auto" w:fill="DEECF7" w:themeFill="accent1" w:themeFillTint="33"/>
          </w:tcPr>
          <w:p w:rsidR="00A5638E" w:rsidRPr="00D56267" w:rsidRDefault="00A5638E" w:rsidP="0033427B">
            <w:pPr>
              <w:pStyle w:val="NoSpacing"/>
              <w:jc w:val="center"/>
              <w:rPr>
                <w:sz w:val="20"/>
                <w:szCs w:val="20"/>
              </w:rPr>
            </w:pPr>
          </w:p>
          <w:p w:rsidR="00A22F8B" w:rsidRPr="00007ACA" w:rsidRDefault="0033427B" w:rsidP="008A3DE6">
            <w:pPr>
              <w:pStyle w:val="NoSpacing"/>
              <w:jc w:val="center"/>
              <w:rPr>
                <w:sz w:val="28"/>
                <w:szCs w:val="28"/>
              </w:rPr>
            </w:pPr>
            <w:r w:rsidRPr="00007ACA">
              <w:rPr>
                <w:sz w:val="28"/>
                <w:szCs w:val="28"/>
              </w:rPr>
              <w:t>Foundation Learning Pa</w:t>
            </w:r>
            <w:r w:rsidR="00007ACA">
              <w:rPr>
                <w:sz w:val="28"/>
                <w:szCs w:val="28"/>
              </w:rPr>
              <w:t>ckages</w:t>
            </w:r>
          </w:p>
        </w:tc>
      </w:tr>
      <w:tr w:rsidR="008A3DE6" w:rsidTr="00A5638E">
        <w:trPr>
          <w:trHeight w:val="1295"/>
        </w:trPr>
        <w:tc>
          <w:tcPr>
            <w:tcW w:w="9350" w:type="dxa"/>
            <w:gridSpan w:val="3"/>
          </w:tcPr>
          <w:p w:rsidR="008A3DE6" w:rsidRPr="00463FC1" w:rsidRDefault="00400FCA" w:rsidP="00400FCA">
            <w:pPr>
              <w:pStyle w:val="NoSpacing"/>
              <w:rPr>
                <w:sz w:val="24"/>
                <w:szCs w:val="24"/>
              </w:rPr>
            </w:pPr>
            <w:r>
              <w:rPr>
                <w:sz w:val="24"/>
                <w:szCs w:val="24"/>
              </w:rPr>
              <w:t>These learning packages provide foundational knowledge in three key areas.</w:t>
            </w:r>
          </w:p>
          <w:p w:rsidR="008A3DE6" w:rsidRDefault="008A3DE6" w:rsidP="008A3DE6">
            <w:pPr>
              <w:pStyle w:val="NoSpacing"/>
              <w:numPr>
                <w:ilvl w:val="0"/>
                <w:numId w:val="2"/>
              </w:numPr>
              <w:rPr>
                <w:sz w:val="24"/>
                <w:szCs w:val="24"/>
              </w:rPr>
            </w:pPr>
            <w:r w:rsidRPr="00007ACA">
              <w:rPr>
                <w:b/>
                <w:sz w:val="24"/>
                <w:szCs w:val="24"/>
              </w:rPr>
              <w:t>Collaborative Teams</w:t>
            </w:r>
            <w:r>
              <w:rPr>
                <w:sz w:val="24"/>
                <w:szCs w:val="24"/>
              </w:rPr>
              <w:t xml:space="preserve"> help each other learn to select and use Effective Teaching/Learning Practices to improve student outcomes</w:t>
            </w:r>
          </w:p>
          <w:p w:rsidR="008A3DE6" w:rsidRDefault="00007ACA" w:rsidP="008A3DE6">
            <w:pPr>
              <w:pStyle w:val="NoSpacing"/>
              <w:numPr>
                <w:ilvl w:val="0"/>
                <w:numId w:val="2"/>
              </w:numPr>
              <w:rPr>
                <w:sz w:val="24"/>
                <w:szCs w:val="24"/>
              </w:rPr>
            </w:pPr>
            <w:r>
              <w:rPr>
                <w:sz w:val="24"/>
                <w:szCs w:val="24"/>
              </w:rPr>
              <w:t xml:space="preserve">Collaborative Teams use </w:t>
            </w:r>
            <w:r w:rsidRPr="00007ACA">
              <w:rPr>
                <w:b/>
                <w:sz w:val="24"/>
                <w:szCs w:val="24"/>
              </w:rPr>
              <w:t>Common Formative A</w:t>
            </w:r>
            <w:r w:rsidR="008A3DE6" w:rsidRPr="00007ACA">
              <w:rPr>
                <w:b/>
                <w:sz w:val="24"/>
                <w:szCs w:val="24"/>
              </w:rPr>
              <w:t>ssessments</w:t>
            </w:r>
            <w:r w:rsidR="008A3DE6">
              <w:rPr>
                <w:sz w:val="24"/>
                <w:szCs w:val="24"/>
              </w:rPr>
              <w:t xml:space="preserve"> to monitor the value of the teaching and learning practices and student acquisition of knowledge and skills.</w:t>
            </w:r>
          </w:p>
          <w:p w:rsidR="008A3DE6" w:rsidRPr="00400FCA" w:rsidRDefault="00844E78" w:rsidP="00400FCA">
            <w:pPr>
              <w:pStyle w:val="NoSpacing"/>
              <w:numPr>
                <w:ilvl w:val="0"/>
                <w:numId w:val="2"/>
              </w:numPr>
              <w:rPr>
                <w:sz w:val="24"/>
                <w:szCs w:val="24"/>
              </w:rPr>
            </w:pPr>
            <w:r>
              <w:rPr>
                <w:sz w:val="24"/>
                <w:szCs w:val="24"/>
              </w:rPr>
              <w:t>Collaborative T</w:t>
            </w:r>
            <w:r w:rsidR="00EF40E1">
              <w:rPr>
                <w:sz w:val="24"/>
                <w:szCs w:val="24"/>
              </w:rPr>
              <w:t>eams collectively</w:t>
            </w:r>
            <w:r w:rsidR="008A3DE6">
              <w:rPr>
                <w:sz w:val="24"/>
                <w:szCs w:val="24"/>
              </w:rPr>
              <w:t xml:space="preserve"> chart and analyze data</w:t>
            </w:r>
            <w:r w:rsidR="00EF40E1">
              <w:rPr>
                <w:sz w:val="24"/>
                <w:szCs w:val="24"/>
              </w:rPr>
              <w:t xml:space="preserve"> (</w:t>
            </w:r>
            <w:r w:rsidR="00EF40E1" w:rsidRPr="00EF40E1">
              <w:rPr>
                <w:b/>
                <w:sz w:val="24"/>
                <w:szCs w:val="24"/>
              </w:rPr>
              <w:t>Data-Based Decision Making</w:t>
            </w:r>
            <w:r w:rsidR="00EF40E1">
              <w:rPr>
                <w:sz w:val="24"/>
                <w:szCs w:val="24"/>
              </w:rPr>
              <w:t>)</w:t>
            </w:r>
            <w:r w:rsidR="008A3DE6">
              <w:rPr>
                <w:sz w:val="24"/>
                <w:szCs w:val="24"/>
              </w:rPr>
              <w:t xml:space="preserve"> to determine student needs and what practices are most likely to work for re-teaching. Re-assessment validates their decisions.</w:t>
            </w:r>
          </w:p>
        </w:tc>
      </w:tr>
      <w:tr w:rsidR="0033427B" w:rsidTr="00007ACA">
        <w:trPr>
          <w:trHeight w:val="1088"/>
        </w:trPr>
        <w:tc>
          <w:tcPr>
            <w:tcW w:w="3384" w:type="dxa"/>
            <w:shd w:val="clear" w:color="auto" w:fill="DEECF7" w:themeFill="accent1" w:themeFillTint="33"/>
          </w:tcPr>
          <w:p w:rsidR="0033427B" w:rsidRDefault="0033427B" w:rsidP="0033427B">
            <w:pPr>
              <w:pStyle w:val="NoSpacing"/>
              <w:jc w:val="center"/>
              <w:rPr>
                <w:sz w:val="24"/>
                <w:szCs w:val="24"/>
              </w:rPr>
            </w:pPr>
            <w:r>
              <w:rPr>
                <w:sz w:val="24"/>
                <w:szCs w:val="24"/>
              </w:rPr>
              <w:t>Name of Package</w:t>
            </w:r>
          </w:p>
        </w:tc>
        <w:tc>
          <w:tcPr>
            <w:tcW w:w="1224" w:type="dxa"/>
            <w:shd w:val="clear" w:color="auto" w:fill="DEECF7" w:themeFill="accent1" w:themeFillTint="33"/>
          </w:tcPr>
          <w:p w:rsidR="00761103" w:rsidRDefault="00761103" w:rsidP="00761103">
            <w:pPr>
              <w:pStyle w:val="NoSpacing"/>
              <w:jc w:val="center"/>
              <w:rPr>
                <w:sz w:val="24"/>
                <w:szCs w:val="24"/>
              </w:rPr>
            </w:pPr>
            <w:r>
              <w:rPr>
                <w:sz w:val="24"/>
                <w:szCs w:val="24"/>
              </w:rPr>
              <w:t>Effect Size</w:t>
            </w:r>
          </w:p>
          <w:p w:rsidR="00761103" w:rsidRDefault="00761103" w:rsidP="00761103">
            <w:pPr>
              <w:pStyle w:val="NoSpacing"/>
              <w:jc w:val="center"/>
              <w:rPr>
                <w:sz w:val="12"/>
                <w:szCs w:val="12"/>
              </w:rPr>
            </w:pPr>
          </w:p>
          <w:p w:rsidR="00761103" w:rsidRDefault="00761103" w:rsidP="00761103">
            <w:pPr>
              <w:pStyle w:val="NoSpacing"/>
              <w:jc w:val="center"/>
              <w:rPr>
                <w:sz w:val="12"/>
                <w:szCs w:val="12"/>
              </w:rPr>
            </w:pPr>
            <w:r>
              <w:rPr>
                <w:noProof/>
              </w:rPr>
              <w:drawing>
                <wp:inline distT="0" distB="0" distL="0" distR="0">
                  <wp:extent cx="552450" cy="295275"/>
                  <wp:effectExtent l="0" t="0" r="0" b="952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a:effectLst/>
                          <a:extLst/>
                        </pic:spPr>
                      </pic:pic>
                    </a:graphicData>
                  </a:graphic>
                </wp:inline>
              </w:drawing>
            </w:r>
          </w:p>
          <w:p w:rsidR="0033427B" w:rsidRPr="00007ACA" w:rsidRDefault="0033427B" w:rsidP="00761103">
            <w:pPr>
              <w:pStyle w:val="NoSpacing"/>
              <w:jc w:val="center"/>
              <w:rPr>
                <w:sz w:val="12"/>
                <w:szCs w:val="12"/>
              </w:rPr>
            </w:pPr>
          </w:p>
        </w:tc>
        <w:tc>
          <w:tcPr>
            <w:tcW w:w="4742" w:type="dxa"/>
            <w:shd w:val="clear" w:color="auto" w:fill="DEECF7" w:themeFill="accent1" w:themeFillTint="33"/>
          </w:tcPr>
          <w:p w:rsidR="0033427B" w:rsidRDefault="0033427B" w:rsidP="0033427B">
            <w:pPr>
              <w:pStyle w:val="NoSpacing"/>
              <w:jc w:val="center"/>
              <w:rPr>
                <w:sz w:val="24"/>
                <w:szCs w:val="24"/>
              </w:rPr>
            </w:pPr>
            <w:r>
              <w:rPr>
                <w:sz w:val="24"/>
                <w:szCs w:val="24"/>
              </w:rPr>
              <w:t>Definition</w:t>
            </w:r>
          </w:p>
        </w:tc>
      </w:tr>
      <w:tr w:rsidR="0033427B" w:rsidTr="00722E2E">
        <w:tc>
          <w:tcPr>
            <w:tcW w:w="3384" w:type="dxa"/>
            <w:shd w:val="clear" w:color="auto" w:fill="auto"/>
          </w:tcPr>
          <w:p w:rsidR="0033427B" w:rsidRDefault="0033427B" w:rsidP="0033427B">
            <w:pPr>
              <w:pStyle w:val="NoSpacing"/>
              <w:rPr>
                <w:sz w:val="24"/>
                <w:szCs w:val="24"/>
              </w:rPr>
            </w:pPr>
            <w:r>
              <w:rPr>
                <w:sz w:val="24"/>
                <w:szCs w:val="24"/>
              </w:rPr>
              <w:t>Collaborative Teams</w:t>
            </w:r>
          </w:p>
        </w:tc>
        <w:tc>
          <w:tcPr>
            <w:tcW w:w="1224" w:type="dxa"/>
          </w:tcPr>
          <w:p w:rsidR="0033427B" w:rsidRDefault="00A5638E" w:rsidP="00A5638E">
            <w:pPr>
              <w:pStyle w:val="NoSpacing"/>
              <w:jc w:val="center"/>
              <w:rPr>
                <w:sz w:val="24"/>
                <w:szCs w:val="24"/>
              </w:rPr>
            </w:pPr>
            <w:r>
              <w:rPr>
                <w:sz w:val="24"/>
                <w:szCs w:val="24"/>
              </w:rPr>
              <w:t>NA</w:t>
            </w:r>
          </w:p>
        </w:tc>
        <w:tc>
          <w:tcPr>
            <w:tcW w:w="4742" w:type="dxa"/>
          </w:tcPr>
          <w:p w:rsidR="00722E2E" w:rsidRDefault="00A22F8B" w:rsidP="00722E2E">
            <w:pPr>
              <w:pStyle w:val="NoSpacing"/>
              <w:jc w:val="both"/>
              <w:rPr>
                <w:sz w:val="24"/>
                <w:szCs w:val="24"/>
              </w:rPr>
            </w:pPr>
            <w:r>
              <w:rPr>
                <w:sz w:val="24"/>
                <w:szCs w:val="24"/>
              </w:rPr>
              <w:t>Collaborative t</w:t>
            </w:r>
            <w:r w:rsidR="00722E2E">
              <w:rPr>
                <w:sz w:val="24"/>
                <w:szCs w:val="24"/>
              </w:rPr>
              <w:t>eaming at the classroom level involves</w:t>
            </w:r>
            <w:r>
              <w:rPr>
                <w:sz w:val="24"/>
                <w:szCs w:val="24"/>
              </w:rPr>
              <w:t xml:space="preserve"> educators working interdependently to learn about and communicate the impact of their teaching, using evidence of student progress to improve outcomes for all students.</w:t>
            </w:r>
          </w:p>
        </w:tc>
      </w:tr>
      <w:tr w:rsidR="0033427B" w:rsidTr="00722E2E">
        <w:tc>
          <w:tcPr>
            <w:tcW w:w="3384" w:type="dxa"/>
            <w:shd w:val="clear" w:color="auto" w:fill="auto"/>
          </w:tcPr>
          <w:p w:rsidR="0033427B" w:rsidRDefault="0033427B" w:rsidP="0033427B">
            <w:pPr>
              <w:pStyle w:val="NoSpacing"/>
              <w:rPr>
                <w:sz w:val="24"/>
                <w:szCs w:val="24"/>
              </w:rPr>
            </w:pPr>
            <w:r>
              <w:rPr>
                <w:sz w:val="24"/>
                <w:szCs w:val="24"/>
              </w:rPr>
              <w:t>Common Formative Assessment</w:t>
            </w:r>
          </w:p>
        </w:tc>
        <w:tc>
          <w:tcPr>
            <w:tcW w:w="1224" w:type="dxa"/>
          </w:tcPr>
          <w:p w:rsidR="0033427B" w:rsidRDefault="00A5638E" w:rsidP="00A5638E">
            <w:pPr>
              <w:pStyle w:val="NoSpacing"/>
              <w:jc w:val="center"/>
              <w:rPr>
                <w:sz w:val="24"/>
                <w:szCs w:val="24"/>
              </w:rPr>
            </w:pPr>
            <w:r>
              <w:rPr>
                <w:sz w:val="24"/>
                <w:szCs w:val="24"/>
              </w:rPr>
              <w:t>NA</w:t>
            </w:r>
          </w:p>
        </w:tc>
        <w:tc>
          <w:tcPr>
            <w:tcW w:w="4742" w:type="dxa"/>
          </w:tcPr>
          <w:p w:rsidR="0033427B" w:rsidRDefault="00463FC1" w:rsidP="00F17DE4">
            <w:pPr>
              <w:pStyle w:val="NoSpacing"/>
              <w:jc w:val="both"/>
              <w:rPr>
                <w:sz w:val="24"/>
                <w:szCs w:val="24"/>
              </w:rPr>
            </w:pPr>
            <w:r>
              <w:rPr>
                <w:sz w:val="24"/>
                <w:szCs w:val="24"/>
              </w:rPr>
              <w:t>Common formative assessment at the classroom level is a systematic and cyclical process designed to provide timely teacher/student feedback on curricula and student learning to improve both instructional practices and academic achievement.</w:t>
            </w:r>
          </w:p>
        </w:tc>
      </w:tr>
      <w:tr w:rsidR="0033427B" w:rsidTr="00722E2E">
        <w:tc>
          <w:tcPr>
            <w:tcW w:w="3384" w:type="dxa"/>
            <w:shd w:val="clear" w:color="auto" w:fill="auto"/>
          </w:tcPr>
          <w:p w:rsidR="0033427B" w:rsidRDefault="0033427B" w:rsidP="0033427B">
            <w:pPr>
              <w:pStyle w:val="NoSpacing"/>
              <w:rPr>
                <w:sz w:val="24"/>
                <w:szCs w:val="24"/>
              </w:rPr>
            </w:pPr>
            <w:r>
              <w:rPr>
                <w:sz w:val="24"/>
                <w:szCs w:val="24"/>
              </w:rPr>
              <w:t>Data-Based Decision Making</w:t>
            </w:r>
          </w:p>
        </w:tc>
        <w:tc>
          <w:tcPr>
            <w:tcW w:w="1224" w:type="dxa"/>
          </w:tcPr>
          <w:p w:rsidR="0033427B" w:rsidRDefault="00A5638E" w:rsidP="00A5638E">
            <w:pPr>
              <w:pStyle w:val="NoSpacing"/>
              <w:jc w:val="center"/>
              <w:rPr>
                <w:sz w:val="24"/>
                <w:szCs w:val="24"/>
              </w:rPr>
            </w:pPr>
            <w:r>
              <w:rPr>
                <w:sz w:val="24"/>
                <w:szCs w:val="24"/>
              </w:rPr>
              <w:t>NA</w:t>
            </w:r>
          </w:p>
        </w:tc>
        <w:tc>
          <w:tcPr>
            <w:tcW w:w="4742" w:type="dxa"/>
          </w:tcPr>
          <w:p w:rsidR="0033427B" w:rsidRDefault="006C6375" w:rsidP="00D87DEB">
            <w:pPr>
              <w:pStyle w:val="NoSpacing"/>
              <w:jc w:val="both"/>
              <w:rPr>
                <w:sz w:val="24"/>
                <w:szCs w:val="24"/>
              </w:rPr>
            </w:pPr>
            <w:r>
              <w:rPr>
                <w:sz w:val="24"/>
                <w:szCs w:val="24"/>
              </w:rPr>
              <w:t>Data-based decision m</w:t>
            </w:r>
            <w:r w:rsidR="00463FC1">
              <w:rPr>
                <w:sz w:val="24"/>
                <w:szCs w:val="24"/>
              </w:rPr>
              <w:t>aking involves small teams meeting regularly and using an explicit, data-driven structure to disaggregate data, analyze student performance, set incremental student learning goals, engage in dialogue around explicit and deliberate classroom instruction, and create a plan to monitor instruction and student learning.</w:t>
            </w:r>
          </w:p>
        </w:tc>
      </w:tr>
    </w:tbl>
    <w:p w:rsidR="0053505C" w:rsidRDefault="0053505C" w:rsidP="0033427B">
      <w:pPr>
        <w:pStyle w:val="NoSpacing"/>
        <w:rPr>
          <w:sz w:val="24"/>
          <w:szCs w:val="24"/>
        </w:rPr>
      </w:pPr>
    </w:p>
    <w:p w:rsidR="006C6375" w:rsidRDefault="006C6375" w:rsidP="0033427B">
      <w:pPr>
        <w:pStyle w:val="NoSpacing"/>
        <w:rPr>
          <w:sz w:val="24"/>
          <w:szCs w:val="24"/>
        </w:rPr>
      </w:pPr>
    </w:p>
    <w:p w:rsidR="00461D00" w:rsidRDefault="006C6375" w:rsidP="006C6375">
      <w:pPr>
        <w:pStyle w:val="NoSpacing"/>
        <w:jc w:val="right"/>
        <w:rPr>
          <w:sz w:val="24"/>
          <w:szCs w:val="24"/>
        </w:rPr>
        <w:sectPr w:rsidR="00461D00" w:rsidSect="00D2723B">
          <w:footerReference w:type="default" r:id="rId9"/>
          <w:pgSz w:w="12240" w:h="15840"/>
          <w:pgMar w:top="1440" w:right="1440" w:bottom="1440" w:left="1440" w:header="720" w:footer="720" w:gutter="0"/>
          <w:cols w:space="720"/>
          <w:docGrid w:linePitch="360"/>
        </w:sectPr>
      </w:pPr>
      <w:r>
        <w:rPr>
          <w:sz w:val="24"/>
          <w:szCs w:val="24"/>
        </w:rPr>
        <w:t xml:space="preserve">Retrieved electronically from </w:t>
      </w:r>
      <w:hyperlink r:id="rId10" w:history="1">
        <w:r w:rsidR="00C17C43" w:rsidRPr="005D2450">
          <w:rPr>
            <w:rStyle w:val="Hyperlink"/>
            <w:sz w:val="24"/>
            <w:szCs w:val="24"/>
          </w:rPr>
          <w:t>http://www.moedu-sail.org</w:t>
        </w:r>
      </w:hyperlink>
      <w:r>
        <w:rPr>
          <w:sz w:val="24"/>
          <w:szCs w:val="24"/>
        </w:rPr>
        <w:t xml:space="preserve"> </w:t>
      </w:r>
      <w:r>
        <w:rPr>
          <w:sz w:val="24"/>
          <w:szCs w:val="24"/>
        </w:rPr>
        <w:t>(2016)</w:t>
      </w:r>
    </w:p>
    <w:p w:rsidR="0053505C" w:rsidRDefault="0053505C" w:rsidP="0053505C">
      <w:pPr>
        <w:pStyle w:val="NoSpacing"/>
        <w:rPr>
          <w:sz w:val="24"/>
          <w:szCs w:val="24"/>
        </w:rPr>
      </w:pPr>
    </w:p>
    <w:p w:rsidR="0053505C" w:rsidRDefault="0053505C" w:rsidP="0053505C">
      <w:pPr>
        <w:pStyle w:val="NoSpacing"/>
        <w:rPr>
          <w:sz w:val="24"/>
          <w:szCs w:val="24"/>
        </w:rPr>
      </w:pPr>
    </w:p>
    <w:tbl>
      <w:tblPr>
        <w:tblStyle w:val="TableGrid"/>
        <w:tblW w:w="0" w:type="auto"/>
        <w:tblLook w:val="04A0" w:firstRow="1" w:lastRow="0" w:firstColumn="1" w:lastColumn="0" w:noHBand="0" w:noVBand="1"/>
      </w:tblPr>
      <w:tblGrid>
        <w:gridCol w:w="3384"/>
        <w:gridCol w:w="1408"/>
        <w:gridCol w:w="4558"/>
      </w:tblGrid>
      <w:tr w:rsidR="0053505C" w:rsidTr="00007ACA">
        <w:trPr>
          <w:trHeight w:val="845"/>
        </w:trPr>
        <w:tc>
          <w:tcPr>
            <w:tcW w:w="9350" w:type="dxa"/>
            <w:gridSpan w:val="3"/>
            <w:shd w:val="clear" w:color="auto" w:fill="DEECF7" w:themeFill="accent1" w:themeFillTint="33"/>
          </w:tcPr>
          <w:p w:rsidR="0053505C" w:rsidRPr="00D56267" w:rsidRDefault="0053505C" w:rsidP="009509F3">
            <w:pPr>
              <w:pStyle w:val="NoSpacing"/>
              <w:jc w:val="center"/>
              <w:rPr>
                <w:sz w:val="20"/>
                <w:szCs w:val="20"/>
              </w:rPr>
            </w:pPr>
          </w:p>
          <w:p w:rsidR="0053505C" w:rsidRPr="00007ACA" w:rsidRDefault="0053505C" w:rsidP="0053505C">
            <w:pPr>
              <w:pStyle w:val="NoSpacing"/>
              <w:jc w:val="center"/>
              <w:rPr>
                <w:sz w:val="28"/>
                <w:szCs w:val="28"/>
              </w:rPr>
            </w:pPr>
            <w:r w:rsidRPr="00007ACA">
              <w:rPr>
                <w:sz w:val="28"/>
                <w:szCs w:val="28"/>
              </w:rPr>
              <w:t>Effectiv</w:t>
            </w:r>
            <w:r w:rsidR="006C6375">
              <w:rPr>
                <w:sz w:val="28"/>
                <w:szCs w:val="28"/>
              </w:rPr>
              <w:t>e Teaching and Learning Practices</w:t>
            </w:r>
          </w:p>
        </w:tc>
      </w:tr>
      <w:tr w:rsidR="0053505C" w:rsidTr="00D87DEB">
        <w:trPr>
          <w:trHeight w:val="980"/>
        </w:trPr>
        <w:tc>
          <w:tcPr>
            <w:tcW w:w="9350" w:type="dxa"/>
            <w:gridSpan w:val="3"/>
          </w:tcPr>
          <w:p w:rsidR="00722E2E" w:rsidRPr="00A22F8B" w:rsidRDefault="00D87DEB" w:rsidP="00D87DEB">
            <w:pPr>
              <w:pStyle w:val="NoSpacing"/>
              <w:jc w:val="both"/>
              <w:rPr>
                <w:sz w:val="24"/>
                <w:szCs w:val="24"/>
              </w:rPr>
            </w:pPr>
            <w:r>
              <w:rPr>
                <w:sz w:val="24"/>
                <w:szCs w:val="24"/>
              </w:rPr>
              <w:t xml:space="preserve">Effective </w:t>
            </w:r>
            <w:r w:rsidR="00BE7BC5">
              <w:rPr>
                <w:sz w:val="24"/>
                <w:szCs w:val="24"/>
              </w:rPr>
              <w:t>teaching/learning p</w:t>
            </w:r>
            <w:r>
              <w:rPr>
                <w:sz w:val="24"/>
                <w:szCs w:val="24"/>
              </w:rPr>
              <w:t>ractices at the classroom level are evidence-based effective methods</w:t>
            </w:r>
            <w:r w:rsidR="00BE7BC5">
              <w:rPr>
                <w:sz w:val="24"/>
                <w:szCs w:val="24"/>
              </w:rPr>
              <w:t xml:space="preserve"> when implemented with fidelity and informed</w:t>
            </w:r>
            <w:r>
              <w:rPr>
                <w:sz w:val="24"/>
                <w:szCs w:val="24"/>
              </w:rPr>
              <w:t xml:space="preserve"> through data can produce positive, sustained results for every student.</w:t>
            </w:r>
          </w:p>
        </w:tc>
      </w:tr>
      <w:tr w:rsidR="0053505C" w:rsidTr="00F17DE4">
        <w:trPr>
          <w:trHeight w:val="881"/>
        </w:trPr>
        <w:tc>
          <w:tcPr>
            <w:tcW w:w="9350" w:type="dxa"/>
            <w:gridSpan w:val="3"/>
          </w:tcPr>
          <w:p w:rsidR="00D87DEB" w:rsidRPr="00D87DEB" w:rsidRDefault="00D87DEB" w:rsidP="009509F3">
            <w:pPr>
              <w:pStyle w:val="NoSpacing"/>
              <w:jc w:val="center"/>
              <w:rPr>
                <w:sz w:val="20"/>
                <w:szCs w:val="20"/>
              </w:rPr>
            </w:pPr>
          </w:p>
          <w:p w:rsidR="0053505C" w:rsidRPr="00007ACA" w:rsidRDefault="0053505C" w:rsidP="009509F3">
            <w:pPr>
              <w:pStyle w:val="NoSpacing"/>
              <w:jc w:val="center"/>
              <w:rPr>
                <w:b/>
                <w:sz w:val="28"/>
                <w:szCs w:val="28"/>
              </w:rPr>
            </w:pPr>
            <w:r w:rsidRPr="00007ACA">
              <w:rPr>
                <w:b/>
                <w:sz w:val="28"/>
                <w:szCs w:val="28"/>
              </w:rPr>
              <w:t>Connecting with Students</w:t>
            </w:r>
          </w:p>
        </w:tc>
      </w:tr>
      <w:tr w:rsidR="0053505C" w:rsidTr="008A3DE6">
        <w:tc>
          <w:tcPr>
            <w:tcW w:w="3384" w:type="dxa"/>
            <w:shd w:val="clear" w:color="auto" w:fill="DEECF7" w:themeFill="accent1" w:themeFillTint="33"/>
          </w:tcPr>
          <w:p w:rsidR="0053505C" w:rsidRDefault="0053505C" w:rsidP="009509F3">
            <w:pPr>
              <w:pStyle w:val="NoSpacing"/>
              <w:jc w:val="center"/>
              <w:rPr>
                <w:sz w:val="24"/>
                <w:szCs w:val="24"/>
              </w:rPr>
            </w:pPr>
            <w:r>
              <w:rPr>
                <w:sz w:val="24"/>
                <w:szCs w:val="24"/>
              </w:rPr>
              <w:t>Name of Package</w:t>
            </w:r>
          </w:p>
        </w:tc>
        <w:tc>
          <w:tcPr>
            <w:tcW w:w="1408" w:type="dxa"/>
            <w:shd w:val="clear" w:color="auto" w:fill="DEECF7" w:themeFill="accent1" w:themeFillTint="33"/>
          </w:tcPr>
          <w:p w:rsidR="00761103" w:rsidRDefault="00761103" w:rsidP="00D56267">
            <w:pPr>
              <w:pStyle w:val="NoSpacing"/>
              <w:jc w:val="center"/>
              <w:rPr>
                <w:sz w:val="24"/>
                <w:szCs w:val="24"/>
              </w:rPr>
            </w:pPr>
            <w:r>
              <w:rPr>
                <w:sz w:val="24"/>
                <w:szCs w:val="24"/>
              </w:rPr>
              <w:t>Effect Size</w:t>
            </w:r>
          </w:p>
          <w:p w:rsidR="00761103" w:rsidRDefault="00761103" w:rsidP="00761103">
            <w:pPr>
              <w:pStyle w:val="NoSpacing"/>
              <w:jc w:val="center"/>
              <w:rPr>
                <w:sz w:val="12"/>
                <w:szCs w:val="12"/>
              </w:rPr>
            </w:pPr>
          </w:p>
          <w:p w:rsidR="00761103" w:rsidRDefault="00761103" w:rsidP="00761103">
            <w:pPr>
              <w:pStyle w:val="NoSpacing"/>
              <w:jc w:val="center"/>
              <w:rPr>
                <w:sz w:val="12"/>
                <w:szCs w:val="12"/>
              </w:rPr>
            </w:pPr>
            <w:r>
              <w:rPr>
                <w:noProof/>
              </w:rPr>
              <w:drawing>
                <wp:inline distT="0" distB="0" distL="0" distR="0">
                  <wp:extent cx="552450" cy="2952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a:effectLst/>
                          <a:extLst/>
                        </pic:spPr>
                      </pic:pic>
                    </a:graphicData>
                  </a:graphic>
                </wp:inline>
              </w:drawing>
            </w:r>
          </w:p>
          <w:p w:rsidR="0053505C" w:rsidRPr="00007ACA" w:rsidRDefault="0053505C" w:rsidP="009509F3">
            <w:pPr>
              <w:pStyle w:val="NoSpacing"/>
              <w:jc w:val="center"/>
              <w:rPr>
                <w:sz w:val="12"/>
                <w:szCs w:val="12"/>
              </w:rPr>
            </w:pPr>
          </w:p>
        </w:tc>
        <w:tc>
          <w:tcPr>
            <w:tcW w:w="4558" w:type="dxa"/>
            <w:shd w:val="clear" w:color="auto" w:fill="DEECF7" w:themeFill="accent1" w:themeFillTint="33"/>
          </w:tcPr>
          <w:p w:rsidR="0053505C" w:rsidRDefault="0053505C" w:rsidP="009509F3">
            <w:pPr>
              <w:pStyle w:val="NoSpacing"/>
              <w:jc w:val="center"/>
              <w:rPr>
                <w:sz w:val="24"/>
                <w:szCs w:val="24"/>
              </w:rPr>
            </w:pPr>
            <w:r>
              <w:rPr>
                <w:sz w:val="24"/>
                <w:szCs w:val="24"/>
              </w:rPr>
              <w:t>Definition</w:t>
            </w:r>
          </w:p>
        </w:tc>
      </w:tr>
      <w:tr w:rsidR="0053505C" w:rsidTr="008A3DE6">
        <w:tc>
          <w:tcPr>
            <w:tcW w:w="3384" w:type="dxa"/>
            <w:shd w:val="clear" w:color="auto" w:fill="auto"/>
          </w:tcPr>
          <w:p w:rsidR="0053505C" w:rsidRDefault="00EF40E1" w:rsidP="009509F3">
            <w:pPr>
              <w:pStyle w:val="NoSpacing"/>
              <w:rPr>
                <w:sz w:val="24"/>
                <w:szCs w:val="24"/>
              </w:rPr>
            </w:pPr>
            <w:r>
              <w:rPr>
                <w:sz w:val="24"/>
                <w:szCs w:val="24"/>
              </w:rPr>
              <w:t>Student-</w:t>
            </w:r>
            <w:r w:rsidR="0053505C">
              <w:rPr>
                <w:sz w:val="24"/>
                <w:szCs w:val="24"/>
              </w:rPr>
              <w:t>Teacher Relationships</w:t>
            </w:r>
          </w:p>
        </w:tc>
        <w:tc>
          <w:tcPr>
            <w:tcW w:w="1408" w:type="dxa"/>
          </w:tcPr>
          <w:p w:rsidR="006C6375" w:rsidRDefault="006C6375" w:rsidP="006C6375">
            <w:pPr>
              <w:pStyle w:val="NoSpacing"/>
              <w:jc w:val="center"/>
              <w:rPr>
                <w:sz w:val="24"/>
                <w:szCs w:val="24"/>
              </w:rPr>
            </w:pPr>
            <w:r>
              <w:rPr>
                <w:sz w:val="24"/>
                <w:szCs w:val="24"/>
              </w:rPr>
              <w:t>0.7</w:t>
            </w:r>
            <w:r w:rsidR="00761103">
              <w:rPr>
                <w:sz w:val="24"/>
                <w:szCs w:val="24"/>
              </w:rPr>
              <w:t>2</w:t>
            </w:r>
            <w:r>
              <w:rPr>
                <w:sz w:val="24"/>
                <w:szCs w:val="24"/>
              </w:rPr>
              <w:t xml:space="preserve"> </w:t>
            </w:r>
          </w:p>
          <w:p w:rsidR="006C6375" w:rsidRPr="00EF40E1" w:rsidRDefault="006C6375" w:rsidP="006C6375">
            <w:pPr>
              <w:pStyle w:val="NoSpacing"/>
              <w:jc w:val="center"/>
              <w:rPr>
                <w:sz w:val="16"/>
                <w:szCs w:val="16"/>
              </w:rPr>
            </w:pPr>
            <w:r w:rsidRPr="00EF40E1">
              <w:rPr>
                <w:sz w:val="16"/>
                <w:szCs w:val="16"/>
              </w:rPr>
              <w:t>(2009, 2011)</w:t>
            </w:r>
          </w:p>
          <w:p w:rsidR="006C6375" w:rsidRPr="00EF40E1" w:rsidRDefault="006C6375" w:rsidP="006C6375">
            <w:pPr>
              <w:pStyle w:val="NoSpacing"/>
              <w:jc w:val="center"/>
              <w:rPr>
                <w:sz w:val="24"/>
                <w:szCs w:val="24"/>
              </w:rPr>
            </w:pPr>
          </w:p>
          <w:p w:rsidR="006C6375" w:rsidRDefault="006C6375" w:rsidP="006C6375">
            <w:pPr>
              <w:pStyle w:val="NoSpacing"/>
              <w:jc w:val="center"/>
              <w:rPr>
                <w:sz w:val="24"/>
                <w:szCs w:val="24"/>
              </w:rPr>
            </w:pPr>
            <w:r>
              <w:rPr>
                <w:sz w:val="24"/>
                <w:szCs w:val="24"/>
              </w:rPr>
              <w:t>0.52</w:t>
            </w:r>
          </w:p>
          <w:p w:rsidR="006C6375" w:rsidRDefault="006C6375" w:rsidP="006C6375">
            <w:pPr>
              <w:pStyle w:val="NoSpacing"/>
              <w:jc w:val="center"/>
              <w:rPr>
                <w:sz w:val="24"/>
                <w:szCs w:val="24"/>
              </w:rPr>
            </w:pPr>
            <w:r w:rsidRPr="00EF40E1">
              <w:rPr>
                <w:sz w:val="16"/>
                <w:szCs w:val="16"/>
              </w:rPr>
              <w:t>(2015)</w:t>
            </w:r>
          </w:p>
        </w:tc>
        <w:tc>
          <w:tcPr>
            <w:tcW w:w="4558" w:type="dxa"/>
          </w:tcPr>
          <w:p w:rsidR="00D87DEB" w:rsidRDefault="00D87DEB" w:rsidP="00D56267">
            <w:pPr>
              <w:pStyle w:val="NoSpacing"/>
              <w:rPr>
                <w:sz w:val="24"/>
                <w:szCs w:val="24"/>
              </w:rPr>
            </w:pPr>
            <w:r w:rsidRPr="00D87DEB">
              <w:rPr>
                <w:sz w:val="24"/>
                <w:szCs w:val="24"/>
              </w:rPr>
              <w:t>Building relations with students implies agency, efficacy, respect by the teacher for what the child brings to the class (from home, culture, peers) and allowing the experiences of the child to be recognized in the classroom.  Further, developing relationships requires skill by the teacher- such as the skills of listening, empathy, caring and having positive regard for others.</w:t>
            </w:r>
          </w:p>
        </w:tc>
      </w:tr>
      <w:tr w:rsidR="0053505C" w:rsidTr="008A3DE6">
        <w:tc>
          <w:tcPr>
            <w:tcW w:w="3384" w:type="dxa"/>
            <w:shd w:val="clear" w:color="auto" w:fill="auto"/>
          </w:tcPr>
          <w:p w:rsidR="00761103" w:rsidRDefault="0053505C" w:rsidP="00761103">
            <w:pPr>
              <w:pStyle w:val="NoSpacing"/>
              <w:rPr>
                <w:sz w:val="24"/>
                <w:szCs w:val="24"/>
              </w:rPr>
            </w:pPr>
            <w:r>
              <w:rPr>
                <w:sz w:val="24"/>
                <w:szCs w:val="24"/>
              </w:rPr>
              <w:t>Engaging Student Learners</w:t>
            </w:r>
          </w:p>
        </w:tc>
        <w:tc>
          <w:tcPr>
            <w:tcW w:w="1408" w:type="dxa"/>
          </w:tcPr>
          <w:p w:rsidR="006C6375" w:rsidRDefault="006C6375" w:rsidP="006C6375">
            <w:pPr>
              <w:pStyle w:val="NoSpacing"/>
              <w:jc w:val="center"/>
              <w:rPr>
                <w:sz w:val="24"/>
                <w:szCs w:val="24"/>
              </w:rPr>
            </w:pPr>
            <w:r>
              <w:rPr>
                <w:sz w:val="24"/>
                <w:szCs w:val="24"/>
              </w:rPr>
              <w:t xml:space="preserve">0.48 </w:t>
            </w:r>
          </w:p>
          <w:p w:rsidR="006C6375" w:rsidRPr="00EF40E1" w:rsidRDefault="006C6375" w:rsidP="006C6375">
            <w:pPr>
              <w:pStyle w:val="NoSpacing"/>
              <w:jc w:val="center"/>
              <w:rPr>
                <w:sz w:val="16"/>
                <w:szCs w:val="16"/>
              </w:rPr>
            </w:pPr>
            <w:r w:rsidRPr="00EF40E1">
              <w:rPr>
                <w:sz w:val="16"/>
                <w:szCs w:val="16"/>
              </w:rPr>
              <w:t>(2009, 2011)</w:t>
            </w:r>
          </w:p>
          <w:p w:rsidR="006C6375" w:rsidRPr="00EF40E1" w:rsidRDefault="006C6375" w:rsidP="006C6375">
            <w:pPr>
              <w:pStyle w:val="NoSpacing"/>
              <w:jc w:val="center"/>
              <w:rPr>
                <w:sz w:val="24"/>
                <w:szCs w:val="24"/>
              </w:rPr>
            </w:pPr>
          </w:p>
          <w:p w:rsidR="006C6375" w:rsidRDefault="006C6375" w:rsidP="006C6375">
            <w:pPr>
              <w:pStyle w:val="NoSpacing"/>
              <w:jc w:val="center"/>
              <w:rPr>
                <w:sz w:val="24"/>
                <w:szCs w:val="24"/>
              </w:rPr>
            </w:pPr>
            <w:r>
              <w:rPr>
                <w:sz w:val="24"/>
                <w:szCs w:val="24"/>
              </w:rPr>
              <w:t>0.47</w:t>
            </w:r>
          </w:p>
          <w:p w:rsidR="0053505C" w:rsidRDefault="006C6375" w:rsidP="006C6375">
            <w:pPr>
              <w:pStyle w:val="NoSpacing"/>
              <w:jc w:val="center"/>
              <w:rPr>
                <w:sz w:val="24"/>
                <w:szCs w:val="24"/>
              </w:rPr>
            </w:pPr>
            <w:r w:rsidRPr="00EF40E1">
              <w:rPr>
                <w:sz w:val="16"/>
                <w:szCs w:val="16"/>
              </w:rPr>
              <w:t>(2015)</w:t>
            </w:r>
          </w:p>
        </w:tc>
        <w:tc>
          <w:tcPr>
            <w:tcW w:w="4558" w:type="dxa"/>
          </w:tcPr>
          <w:p w:rsidR="0053505C" w:rsidRDefault="00D87DEB" w:rsidP="0053505C">
            <w:pPr>
              <w:pStyle w:val="NoSpacing"/>
              <w:rPr>
                <w:sz w:val="24"/>
                <w:szCs w:val="24"/>
              </w:rPr>
            </w:pPr>
            <w:r w:rsidRPr="00D87DEB">
              <w:rPr>
                <w:sz w:val="24"/>
                <w:szCs w:val="24"/>
              </w:rPr>
              <w:t>In education, student engagement refers to the degree of attention, curiosity, interest, optimism, and passion that students show when they are learning or being taught, which extends to the level of motivation they have to learn and progress in their education. Generally speaking, the concept of “student engagement” is predicated on the belief that learning improves when students are inquisitive, interested, or inspired, and that learning tends to suffer when students are bored, dispassionate, disaffected, or otherwise “disengaged.”</w:t>
            </w:r>
          </w:p>
        </w:tc>
      </w:tr>
    </w:tbl>
    <w:p w:rsidR="00EC5C2F" w:rsidRDefault="00EC5C2F" w:rsidP="00EC5C2F">
      <w:pPr>
        <w:pStyle w:val="NoSpacing"/>
        <w:rPr>
          <w:sz w:val="24"/>
          <w:szCs w:val="24"/>
        </w:rPr>
      </w:pPr>
    </w:p>
    <w:p w:rsidR="00EC5C2F" w:rsidRDefault="006C6375" w:rsidP="00EC5C2F">
      <w:pPr>
        <w:pStyle w:val="NoSpacing"/>
        <w:ind w:left="720"/>
        <w:jc w:val="right"/>
        <w:rPr>
          <w:sz w:val="24"/>
          <w:szCs w:val="24"/>
        </w:rPr>
      </w:pPr>
      <w:r>
        <w:rPr>
          <w:sz w:val="24"/>
          <w:szCs w:val="24"/>
        </w:rPr>
        <w:t xml:space="preserve">Retrieved electronically from </w:t>
      </w:r>
      <w:hyperlink r:id="rId11" w:history="1">
        <w:r w:rsidR="00C17C43" w:rsidRPr="005D2450">
          <w:rPr>
            <w:rStyle w:val="Hyperlink"/>
            <w:sz w:val="24"/>
            <w:szCs w:val="24"/>
          </w:rPr>
          <w:t>http://www.moedu-sail.org</w:t>
        </w:r>
      </w:hyperlink>
      <w:r>
        <w:rPr>
          <w:sz w:val="24"/>
          <w:szCs w:val="24"/>
        </w:rPr>
        <w:t xml:space="preserve"> </w:t>
      </w:r>
      <w:r>
        <w:rPr>
          <w:sz w:val="24"/>
          <w:szCs w:val="24"/>
        </w:rPr>
        <w:t xml:space="preserve">(2016) </w:t>
      </w:r>
    </w:p>
    <w:p w:rsidR="00D56267" w:rsidRDefault="00EC5C2F" w:rsidP="00EC5C2F">
      <w:pPr>
        <w:pStyle w:val="NoSpacing"/>
        <w:ind w:left="720"/>
        <w:jc w:val="right"/>
        <w:rPr>
          <w:sz w:val="24"/>
          <w:szCs w:val="24"/>
        </w:rPr>
      </w:pPr>
      <w:r>
        <w:rPr>
          <w:sz w:val="24"/>
          <w:szCs w:val="24"/>
        </w:rPr>
        <w:t xml:space="preserve">Effect sizes  from </w:t>
      </w:r>
      <w:hyperlink r:id="rId12" w:history="1">
        <w:r w:rsidRPr="005D2450">
          <w:rPr>
            <w:rStyle w:val="Hyperlink"/>
            <w:sz w:val="24"/>
            <w:szCs w:val="24"/>
          </w:rPr>
          <w:t>http://www.visibllearning.org</w:t>
        </w:r>
      </w:hyperlink>
      <w:r>
        <w:rPr>
          <w:sz w:val="24"/>
          <w:szCs w:val="24"/>
        </w:rPr>
        <w:t xml:space="preserve"> </w:t>
      </w:r>
      <w:r w:rsidR="00D56267">
        <w:rPr>
          <w:sz w:val="24"/>
          <w:szCs w:val="24"/>
        </w:rPr>
        <w:br w:type="page"/>
      </w:r>
    </w:p>
    <w:p w:rsidR="007D6B5C" w:rsidRDefault="007D6B5C" w:rsidP="007D6B5C">
      <w:pPr>
        <w:pStyle w:val="NoSpacing"/>
        <w:rPr>
          <w:sz w:val="24"/>
          <w:szCs w:val="24"/>
        </w:rPr>
      </w:pPr>
    </w:p>
    <w:tbl>
      <w:tblPr>
        <w:tblStyle w:val="TableGrid"/>
        <w:tblW w:w="0" w:type="auto"/>
        <w:tblLook w:val="04A0" w:firstRow="1" w:lastRow="0" w:firstColumn="1" w:lastColumn="0" w:noHBand="0" w:noVBand="1"/>
      </w:tblPr>
      <w:tblGrid>
        <w:gridCol w:w="3384"/>
        <w:gridCol w:w="1408"/>
        <w:gridCol w:w="4558"/>
      </w:tblGrid>
      <w:tr w:rsidR="007D6B5C" w:rsidTr="00007ACA">
        <w:trPr>
          <w:trHeight w:val="845"/>
        </w:trPr>
        <w:tc>
          <w:tcPr>
            <w:tcW w:w="9350" w:type="dxa"/>
            <w:gridSpan w:val="3"/>
            <w:shd w:val="clear" w:color="auto" w:fill="DEECF7" w:themeFill="accent1" w:themeFillTint="33"/>
          </w:tcPr>
          <w:p w:rsidR="007D6B5C" w:rsidRPr="00F17DE4" w:rsidRDefault="007D6B5C" w:rsidP="009509F3">
            <w:pPr>
              <w:pStyle w:val="NoSpacing"/>
              <w:jc w:val="center"/>
              <w:rPr>
                <w:sz w:val="20"/>
                <w:szCs w:val="20"/>
              </w:rPr>
            </w:pPr>
          </w:p>
          <w:p w:rsidR="007D6B5C" w:rsidRPr="00007ACA" w:rsidRDefault="007D6B5C" w:rsidP="009509F3">
            <w:pPr>
              <w:pStyle w:val="NoSpacing"/>
              <w:jc w:val="center"/>
              <w:rPr>
                <w:sz w:val="28"/>
                <w:szCs w:val="28"/>
              </w:rPr>
            </w:pPr>
            <w:r w:rsidRPr="00007ACA">
              <w:rPr>
                <w:sz w:val="28"/>
                <w:szCs w:val="28"/>
              </w:rPr>
              <w:t>Effectiv</w:t>
            </w:r>
            <w:r w:rsidR="006C6375">
              <w:rPr>
                <w:sz w:val="28"/>
                <w:szCs w:val="28"/>
              </w:rPr>
              <w:t>e Teaching and Learning Practices</w:t>
            </w:r>
          </w:p>
        </w:tc>
      </w:tr>
      <w:tr w:rsidR="007D6B5C" w:rsidTr="009509F3">
        <w:trPr>
          <w:trHeight w:val="980"/>
        </w:trPr>
        <w:tc>
          <w:tcPr>
            <w:tcW w:w="9350" w:type="dxa"/>
            <w:gridSpan w:val="3"/>
          </w:tcPr>
          <w:p w:rsidR="007D6B5C" w:rsidRPr="00A22F8B" w:rsidRDefault="007D6B5C" w:rsidP="009509F3">
            <w:pPr>
              <w:pStyle w:val="NoSpacing"/>
              <w:jc w:val="both"/>
              <w:rPr>
                <w:sz w:val="24"/>
                <w:szCs w:val="24"/>
              </w:rPr>
            </w:pPr>
            <w:r>
              <w:rPr>
                <w:sz w:val="24"/>
                <w:szCs w:val="24"/>
              </w:rPr>
              <w:t>Effective Teaching/Learning Practices at the classroom level are evidence-based effective methods that ae not content related and when implemented with fidelity and informed through data can produce positive, sustained results for every student.</w:t>
            </w:r>
          </w:p>
        </w:tc>
      </w:tr>
      <w:tr w:rsidR="007D6B5C" w:rsidTr="00F17DE4">
        <w:trPr>
          <w:trHeight w:val="917"/>
        </w:trPr>
        <w:tc>
          <w:tcPr>
            <w:tcW w:w="9350" w:type="dxa"/>
            <w:gridSpan w:val="3"/>
            <w:shd w:val="clear" w:color="auto" w:fill="auto"/>
          </w:tcPr>
          <w:p w:rsidR="007D6B5C" w:rsidRPr="00F17DE4" w:rsidRDefault="007D6B5C" w:rsidP="009509F3">
            <w:pPr>
              <w:pStyle w:val="NoSpacing"/>
              <w:jc w:val="center"/>
              <w:rPr>
                <w:sz w:val="20"/>
                <w:szCs w:val="20"/>
              </w:rPr>
            </w:pPr>
          </w:p>
          <w:p w:rsidR="007D6B5C" w:rsidRPr="00007ACA" w:rsidRDefault="007D6B5C" w:rsidP="009509F3">
            <w:pPr>
              <w:pStyle w:val="NoSpacing"/>
              <w:jc w:val="center"/>
              <w:rPr>
                <w:b/>
                <w:sz w:val="28"/>
                <w:szCs w:val="28"/>
              </w:rPr>
            </w:pPr>
            <w:r w:rsidRPr="00007ACA">
              <w:rPr>
                <w:b/>
                <w:sz w:val="28"/>
                <w:szCs w:val="28"/>
              </w:rPr>
              <w:t>Students Learning to Learn</w:t>
            </w:r>
          </w:p>
        </w:tc>
      </w:tr>
      <w:tr w:rsidR="00E60109" w:rsidTr="00844E78">
        <w:tc>
          <w:tcPr>
            <w:tcW w:w="3384" w:type="dxa"/>
            <w:shd w:val="clear" w:color="auto" w:fill="DEECF7" w:themeFill="accent1" w:themeFillTint="33"/>
          </w:tcPr>
          <w:p w:rsidR="007D6B5C" w:rsidRDefault="007D6B5C" w:rsidP="009509F3">
            <w:pPr>
              <w:pStyle w:val="NoSpacing"/>
              <w:jc w:val="center"/>
              <w:rPr>
                <w:sz w:val="24"/>
                <w:szCs w:val="24"/>
              </w:rPr>
            </w:pPr>
            <w:r>
              <w:rPr>
                <w:sz w:val="24"/>
                <w:szCs w:val="24"/>
              </w:rPr>
              <w:t>Name of Package</w:t>
            </w:r>
          </w:p>
        </w:tc>
        <w:tc>
          <w:tcPr>
            <w:tcW w:w="1408" w:type="dxa"/>
            <w:shd w:val="clear" w:color="auto" w:fill="DEECF7" w:themeFill="accent1" w:themeFillTint="33"/>
          </w:tcPr>
          <w:p w:rsidR="007D6B5C" w:rsidRDefault="007D6B5C" w:rsidP="00E60109">
            <w:pPr>
              <w:pStyle w:val="NoSpacing"/>
              <w:jc w:val="center"/>
              <w:rPr>
                <w:sz w:val="24"/>
                <w:szCs w:val="24"/>
              </w:rPr>
            </w:pPr>
            <w:r>
              <w:rPr>
                <w:sz w:val="24"/>
                <w:szCs w:val="24"/>
              </w:rPr>
              <w:t>Effect Size</w:t>
            </w:r>
          </w:p>
          <w:p w:rsidR="00E60109" w:rsidRDefault="00E60109" w:rsidP="00E60109">
            <w:pPr>
              <w:pStyle w:val="NoSpacing"/>
              <w:jc w:val="center"/>
              <w:rPr>
                <w:sz w:val="12"/>
                <w:szCs w:val="12"/>
              </w:rPr>
            </w:pPr>
          </w:p>
          <w:p w:rsidR="00E60109" w:rsidRDefault="00E60109" w:rsidP="00E60109">
            <w:pPr>
              <w:pStyle w:val="NoSpacing"/>
              <w:jc w:val="center"/>
              <w:rPr>
                <w:sz w:val="12"/>
                <w:szCs w:val="12"/>
              </w:rPr>
            </w:pPr>
            <w:r>
              <w:rPr>
                <w:noProof/>
              </w:rPr>
              <w:drawing>
                <wp:inline distT="0" distB="0" distL="0" distR="0">
                  <wp:extent cx="552450" cy="2952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a:effectLst/>
                          <a:extLst/>
                        </pic:spPr>
                      </pic:pic>
                    </a:graphicData>
                  </a:graphic>
                </wp:inline>
              </w:drawing>
            </w:r>
          </w:p>
          <w:p w:rsidR="007D6B5C" w:rsidRPr="00007ACA" w:rsidRDefault="007D6B5C" w:rsidP="00E60109">
            <w:pPr>
              <w:pStyle w:val="NoSpacing"/>
              <w:rPr>
                <w:sz w:val="12"/>
                <w:szCs w:val="12"/>
              </w:rPr>
            </w:pPr>
          </w:p>
        </w:tc>
        <w:tc>
          <w:tcPr>
            <w:tcW w:w="4558" w:type="dxa"/>
            <w:shd w:val="clear" w:color="auto" w:fill="DEECF7" w:themeFill="accent1" w:themeFillTint="33"/>
          </w:tcPr>
          <w:p w:rsidR="007D6B5C" w:rsidRDefault="007D6B5C" w:rsidP="009509F3">
            <w:pPr>
              <w:pStyle w:val="NoSpacing"/>
              <w:jc w:val="center"/>
              <w:rPr>
                <w:sz w:val="24"/>
                <w:szCs w:val="24"/>
              </w:rPr>
            </w:pPr>
            <w:r>
              <w:rPr>
                <w:sz w:val="24"/>
                <w:szCs w:val="24"/>
              </w:rPr>
              <w:t>Definition</w:t>
            </w:r>
          </w:p>
        </w:tc>
      </w:tr>
      <w:tr w:rsidR="00E60109" w:rsidTr="008A3DE6">
        <w:tc>
          <w:tcPr>
            <w:tcW w:w="3384" w:type="dxa"/>
            <w:shd w:val="clear" w:color="auto" w:fill="auto"/>
          </w:tcPr>
          <w:p w:rsidR="007D6B5C" w:rsidRDefault="007D6B5C" w:rsidP="009509F3">
            <w:pPr>
              <w:pStyle w:val="NoSpacing"/>
              <w:rPr>
                <w:sz w:val="24"/>
                <w:szCs w:val="24"/>
              </w:rPr>
            </w:pPr>
            <w:r>
              <w:rPr>
                <w:sz w:val="24"/>
                <w:szCs w:val="24"/>
              </w:rPr>
              <w:t>Feedback</w:t>
            </w:r>
          </w:p>
        </w:tc>
        <w:tc>
          <w:tcPr>
            <w:tcW w:w="1408" w:type="dxa"/>
          </w:tcPr>
          <w:p w:rsidR="006C6375" w:rsidRDefault="00761103" w:rsidP="006C6375">
            <w:pPr>
              <w:pStyle w:val="NoSpacing"/>
              <w:jc w:val="center"/>
              <w:rPr>
                <w:sz w:val="24"/>
                <w:szCs w:val="24"/>
              </w:rPr>
            </w:pPr>
            <w:r>
              <w:rPr>
                <w:sz w:val="24"/>
                <w:szCs w:val="24"/>
              </w:rPr>
              <w:t>0.73</w:t>
            </w:r>
            <w:r w:rsidR="006C6375">
              <w:rPr>
                <w:sz w:val="24"/>
                <w:szCs w:val="24"/>
              </w:rPr>
              <w:t xml:space="preserve"> </w:t>
            </w:r>
          </w:p>
          <w:p w:rsidR="006C6375" w:rsidRDefault="006C6375" w:rsidP="006C6375">
            <w:pPr>
              <w:pStyle w:val="NoSpacing"/>
              <w:jc w:val="center"/>
              <w:rPr>
                <w:sz w:val="16"/>
                <w:szCs w:val="16"/>
              </w:rPr>
            </w:pPr>
            <w:r>
              <w:rPr>
                <w:sz w:val="16"/>
                <w:szCs w:val="16"/>
              </w:rPr>
              <w:t>(2009</w:t>
            </w:r>
            <w:r w:rsidRPr="00EF40E1">
              <w:rPr>
                <w:sz w:val="16"/>
                <w:szCs w:val="16"/>
              </w:rPr>
              <w:t>)</w:t>
            </w:r>
          </w:p>
          <w:p w:rsidR="00961800" w:rsidRPr="00961800" w:rsidRDefault="00961800" w:rsidP="006C6375">
            <w:pPr>
              <w:pStyle w:val="NoSpacing"/>
              <w:jc w:val="center"/>
              <w:rPr>
                <w:sz w:val="4"/>
                <w:szCs w:val="4"/>
              </w:rPr>
            </w:pPr>
          </w:p>
          <w:p w:rsidR="006C6375" w:rsidRDefault="006C6375" w:rsidP="006C6375">
            <w:pPr>
              <w:pStyle w:val="NoSpacing"/>
              <w:jc w:val="center"/>
              <w:rPr>
                <w:sz w:val="24"/>
                <w:szCs w:val="24"/>
              </w:rPr>
            </w:pPr>
            <w:r>
              <w:rPr>
                <w:sz w:val="24"/>
                <w:szCs w:val="24"/>
              </w:rPr>
              <w:t>0.75</w:t>
            </w:r>
          </w:p>
          <w:p w:rsidR="006C6375" w:rsidRDefault="006C6375" w:rsidP="006C6375">
            <w:pPr>
              <w:pStyle w:val="NoSpacing"/>
              <w:jc w:val="center"/>
              <w:rPr>
                <w:sz w:val="16"/>
                <w:szCs w:val="16"/>
              </w:rPr>
            </w:pPr>
            <w:r>
              <w:rPr>
                <w:sz w:val="16"/>
                <w:szCs w:val="16"/>
              </w:rPr>
              <w:t>(2011)</w:t>
            </w:r>
          </w:p>
          <w:p w:rsidR="00961800" w:rsidRPr="00961800" w:rsidRDefault="00961800" w:rsidP="006C6375">
            <w:pPr>
              <w:pStyle w:val="NoSpacing"/>
              <w:jc w:val="center"/>
              <w:rPr>
                <w:sz w:val="4"/>
                <w:szCs w:val="4"/>
              </w:rPr>
            </w:pPr>
          </w:p>
          <w:p w:rsidR="006C6375" w:rsidRDefault="00961800" w:rsidP="00961800">
            <w:pPr>
              <w:pStyle w:val="NoSpacing"/>
              <w:jc w:val="center"/>
              <w:rPr>
                <w:sz w:val="24"/>
                <w:szCs w:val="24"/>
              </w:rPr>
            </w:pPr>
            <w:r>
              <w:rPr>
                <w:sz w:val="24"/>
                <w:szCs w:val="24"/>
              </w:rPr>
              <w:t>0.73</w:t>
            </w:r>
          </w:p>
          <w:p w:rsidR="006C6375" w:rsidRDefault="006C6375" w:rsidP="006C6375">
            <w:pPr>
              <w:pStyle w:val="NoSpacing"/>
              <w:jc w:val="center"/>
              <w:rPr>
                <w:sz w:val="24"/>
                <w:szCs w:val="24"/>
              </w:rPr>
            </w:pPr>
            <w:r w:rsidRPr="00EF40E1">
              <w:rPr>
                <w:sz w:val="16"/>
                <w:szCs w:val="16"/>
              </w:rPr>
              <w:t>(2015)</w:t>
            </w:r>
          </w:p>
        </w:tc>
        <w:tc>
          <w:tcPr>
            <w:tcW w:w="4558" w:type="dxa"/>
          </w:tcPr>
          <w:p w:rsidR="007D6B5C" w:rsidRDefault="006A08A7" w:rsidP="007474D8">
            <w:pPr>
              <w:pStyle w:val="NoSpacing"/>
              <w:jc w:val="both"/>
              <w:rPr>
                <w:sz w:val="24"/>
                <w:szCs w:val="24"/>
              </w:rPr>
            </w:pPr>
            <w:r w:rsidRPr="007D6B5C">
              <w:rPr>
                <w:sz w:val="24"/>
                <w:szCs w:val="24"/>
              </w:rPr>
              <w:t xml:space="preserve">Feedback is information provided by an agent (e.g., teacher, peer, book, parent, self/experience) regarding aspects of one’s performance or understanding. </w:t>
            </w:r>
          </w:p>
        </w:tc>
      </w:tr>
      <w:tr w:rsidR="00E60109" w:rsidTr="008A3DE6">
        <w:tc>
          <w:tcPr>
            <w:tcW w:w="3384" w:type="dxa"/>
            <w:shd w:val="clear" w:color="auto" w:fill="auto"/>
          </w:tcPr>
          <w:p w:rsidR="007D6B5C" w:rsidRDefault="007D6B5C" w:rsidP="009509F3">
            <w:pPr>
              <w:pStyle w:val="NoSpacing"/>
              <w:rPr>
                <w:sz w:val="24"/>
                <w:szCs w:val="24"/>
              </w:rPr>
            </w:pPr>
            <w:r>
              <w:rPr>
                <w:sz w:val="24"/>
                <w:szCs w:val="24"/>
              </w:rPr>
              <w:t>Assessment Capable Learners</w:t>
            </w:r>
          </w:p>
          <w:p w:rsidR="00761103" w:rsidRDefault="00761103" w:rsidP="009509F3">
            <w:pPr>
              <w:pStyle w:val="NoSpacing"/>
              <w:rPr>
                <w:sz w:val="24"/>
                <w:szCs w:val="24"/>
              </w:rPr>
            </w:pPr>
            <w:r>
              <w:rPr>
                <w:sz w:val="24"/>
                <w:szCs w:val="24"/>
              </w:rPr>
              <w:t>(Self-report grades)</w:t>
            </w:r>
          </w:p>
        </w:tc>
        <w:tc>
          <w:tcPr>
            <w:tcW w:w="1408" w:type="dxa"/>
          </w:tcPr>
          <w:p w:rsidR="007474D8" w:rsidRDefault="00761103" w:rsidP="009509F3">
            <w:pPr>
              <w:pStyle w:val="NoSpacing"/>
              <w:jc w:val="center"/>
              <w:rPr>
                <w:sz w:val="24"/>
                <w:szCs w:val="24"/>
              </w:rPr>
            </w:pPr>
            <w:r>
              <w:rPr>
                <w:sz w:val="24"/>
                <w:szCs w:val="24"/>
              </w:rPr>
              <w:t>1.44</w:t>
            </w:r>
            <w:r w:rsidR="007474D8">
              <w:rPr>
                <w:sz w:val="24"/>
                <w:szCs w:val="24"/>
              </w:rPr>
              <w:t xml:space="preserve"> </w:t>
            </w:r>
          </w:p>
          <w:p w:rsidR="007D6B5C" w:rsidRPr="00EF40E1" w:rsidRDefault="007474D8" w:rsidP="009509F3">
            <w:pPr>
              <w:pStyle w:val="NoSpacing"/>
              <w:jc w:val="center"/>
              <w:rPr>
                <w:sz w:val="16"/>
                <w:szCs w:val="16"/>
              </w:rPr>
            </w:pPr>
            <w:r w:rsidRPr="00EF40E1">
              <w:rPr>
                <w:sz w:val="16"/>
                <w:szCs w:val="16"/>
              </w:rPr>
              <w:t>(2009, 2011)</w:t>
            </w:r>
          </w:p>
          <w:p w:rsidR="00EF40E1" w:rsidRPr="00EF40E1" w:rsidRDefault="00EF40E1" w:rsidP="009509F3">
            <w:pPr>
              <w:pStyle w:val="NoSpacing"/>
              <w:jc w:val="center"/>
              <w:rPr>
                <w:sz w:val="24"/>
                <w:szCs w:val="24"/>
              </w:rPr>
            </w:pPr>
          </w:p>
          <w:p w:rsidR="00EF40E1" w:rsidRDefault="00EF40E1" w:rsidP="009509F3">
            <w:pPr>
              <w:pStyle w:val="NoSpacing"/>
              <w:jc w:val="center"/>
              <w:rPr>
                <w:sz w:val="24"/>
                <w:szCs w:val="24"/>
              </w:rPr>
            </w:pPr>
            <w:r>
              <w:rPr>
                <w:sz w:val="24"/>
                <w:szCs w:val="24"/>
              </w:rPr>
              <w:t>1.33</w:t>
            </w:r>
          </w:p>
          <w:p w:rsidR="00EF40E1" w:rsidRPr="00EF40E1" w:rsidRDefault="00EF40E1" w:rsidP="009509F3">
            <w:pPr>
              <w:pStyle w:val="NoSpacing"/>
              <w:jc w:val="center"/>
              <w:rPr>
                <w:sz w:val="16"/>
                <w:szCs w:val="16"/>
              </w:rPr>
            </w:pPr>
            <w:r w:rsidRPr="00EF40E1">
              <w:rPr>
                <w:sz w:val="16"/>
                <w:szCs w:val="16"/>
              </w:rPr>
              <w:t>(2015)</w:t>
            </w:r>
          </w:p>
        </w:tc>
        <w:tc>
          <w:tcPr>
            <w:tcW w:w="4558" w:type="dxa"/>
          </w:tcPr>
          <w:p w:rsidR="007D6B5C" w:rsidRPr="00BE7BC5" w:rsidRDefault="00BE7BC5" w:rsidP="00EF40E1">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Assessment capable learners are students who know the learning target for the lesson, can describe where they are in relation to the criteria</w:t>
            </w:r>
            <w:r w:rsidR="007474D8">
              <w:rPr>
                <w:rFonts w:ascii="Calibri" w:hAnsi="Calibri" w:cs="Calibri"/>
                <w:color w:val="000000"/>
                <w:sz w:val="24"/>
                <w:szCs w:val="24"/>
              </w:rPr>
              <w:t>,</w:t>
            </w:r>
            <w:r>
              <w:rPr>
                <w:rFonts w:ascii="Calibri" w:hAnsi="Calibri" w:cs="Calibri"/>
                <w:color w:val="000000"/>
                <w:sz w:val="24"/>
                <w:szCs w:val="24"/>
              </w:rPr>
              <w:t xml:space="preserve"> and use that information to select learning strategies to improve their work.</w:t>
            </w:r>
          </w:p>
        </w:tc>
      </w:tr>
      <w:tr w:rsidR="00E60109" w:rsidTr="008A3DE6">
        <w:tc>
          <w:tcPr>
            <w:tcW w:w="3384" w:type="dxa"/>
            <w:shd w:val="clear" w:color="auto" w:fill="auto"/>
          </w:tcPr>
          <w:p w:rsidR="007D6B5C" w:rsidRDefault="007D6B5C" w:rsidP="009509F3">
            <w:pPr>
              <w:pStyle w:val="NoSpacing"/>
              <w:rPr>
                <w:sz w:val="24"/>
                <w:szCs w:val="24"/>
              </w:rPr>
            </w:pPr>
            <w:r>
              <w:rPr>
                <w:sz w:val="24"/>
                <w:szCs w:val="24"/>
              </w:rPr>
              <w:t>Metacognition</w:t>
            </w:r>
          </w:p>
        </w:tc>
        <w:tc>
          <w:tcPr>
            <w:tcW w:w="1408" w:type="dxa"/>
          </w:tcPr>
          <w:p w:rsidR="00961800" w:rsidRDefault="00961800" w:rsidP="00961800">
            <w:pPr>
              <w:pStyle w:val="NoSpacing"/>
              <w:jc w:val="center"/>
              <w:rPr>
                <w:sz w:val="24"/>
                <w:szCs w:val="24"/>
              </w:rPr>
            </w:pPr>
            <w:r>
              <w:rPr>
                <w:sz w:val="24"/>
                <w:szCs w:val="24"/>
              </w:rPr>
              <w:t>0.69</w:t>
            </w:r>
          </w:p>
          <w:p w:rsidR="00961800" w:rsidRPr="00EF40E1" w:rsidRDefault="00961800" w:rsidP="00961800">
            <w:pPr>
              <w:pStyle w:val="NoSpacing"/>
              <w:jc w:val="center"/>
              <w:rPr>
                <w:sz w:val="16"/>
                <w:szCs w:val="16"/>
              </w:rPr>
            </w:pPr>
            <w:r w:rsidRPr="00EF40E1">
              <w:rPr>
                <w:sz w:val="16"/>
                <w:szCs w:val="16"/>
              </w:rPr>
              <w:t>(2009, 2011)</w:t>
            </w:r>
          </w:p>
          <w:p w:rsidR="00961800" w:rsidRPr="00EF40E1" w:rsidRDefault="00961800" w:rsidP="00961800">
            <w:pPr>
              <w:pStyle w:val="NoSpacing"/>
              <w:jc w:val="center"/>
              <w:rPr>
                <w:sz w:val="24"/>
                <w:szCs w:val="24"/>
              </w:rPr>
            </w:pPr>
          </w:p>
          <w:p w:rsidR="00961800" w:rsidRDefault="00961800" w:rsidP="00961800">
            <w:pPr>
              <w:pStyle w:val="NoSpacing"/>
              <w:jc w:val="center"/>
              <w:rPr>
                <w:sz w:val="24"/>
                <w:szCs w:val="24"/>
              </w:rPr>
            </w:pPr>
            <w:r>
              <w:rPr>
                <w:sz w:val="24"/>
                <w:szCs w:val="24"/>
              </w:rPr>
              <w:t>0.53</w:t>
            </w:r>
          </w:p>
          <w:p w:rsidR="00961800" w:rsidRDefault="00961800" w:rsidP="00961800">
            <w:pPr>
              <w:pStyle w:val="NoSpacing"/>
              <w:jc w:val="center"/>
              <w:rPr>
                <w:sz w:val="24"/>
                <w:szCs w:val="24"/>
              </w:rPr>
            </w:pPr>
            <w:r w:rsidRPr="00EF40E1">
              <w:rPr>
                <w:sz w:val="16"/>
                <w:szCs w:val="16"/>
              </w:rPr>
              <w:t>(2015)</w:t>
            </w:r>
          </w:p>
        </w:tc>
        <w:tc>
          <w:tcPr>
            <w:tcW w:w="4558" w:type="dxa"/>
          </w:tcPr>
          <w:p w:rsidR="007D6B5C" w:rsidRDefault="00D312C7" w:rsidP="00F17DE4">
            <w:pPr>
              <w:pStyle w:val="NoSpacing"/>
              <w:rPr>
                <w:sz w:val="24"/>
                <w:szCs w:val="24"/>
              </w:rPr>
            </w:pPr>
            <w:r w:rsidRPr="00D312C7">
              <w:rPr>
                <w:sz w:val="24"/>
                <w:szCs w:val="24"/>
              </w:rPr>
              <w:t>Metacognition is thinking about thinking and knowledge and understanding of what we know and how we think, including the ability to regulate our thinking as we work on a task.</w:t>
            </w:r>
          </w:p>
        </w:tc>
      </w:tr>
    </w:tbl>
    <w:p w:rsidR="007D6B5C" w:rsidRDefault="007D6B5C" w:rsidP="007D6B5C">
      <w:pPr>
        <w:pStyle w:val="NoSpacing"/>
        <w:rPr>
          <w:sz w:val="24"/>
          <w:szCs w:val="24"/>
        </w:rPr>
      </w:pPr>
    </w:p>
    <w:p w:rsidR="006C6375" w:rsidRDefault="006C6375" w:rsidP="007D6B5C">
      <w:pPr>
        <w:pStyle w:val="NoSpacing"/>
        <w:rPr>
          <w:sz w:val="24"/>
          <w:szCs w:val="24"/>
        </w:rPr>
      </w:pPr>
    </w:p>
    <w:p w:rsidR="00761103" w:rsidRDefault="006C6375" w:rsidP="006C6375">
      <w:pPr>
        <w:pStyle w:val="NoSpacing"/>
        <w:jc w:val="right"/>
        <w:rPr>
          <w:sz w:val="24"/>
          <w:szCs w:val="24"/>
        </w:rPr>
      </w:pPr>
      <w:r>
        <w:rPr>
          <w:sz w:val="24"/>
          <w:szCs w:val="24"/>
        </w:rPr>
        <w:t>Retrieved electronically from</w:t>
      </w:r>
      <w:r w:rsidR="00C17C43">
        <w:rPr>
          <w:sz w:val="24"/>
          <w:szCs w:val="24"/>
        </w:rPr>
        <w:t xml:space="preserve"> </w:t>
      </w:r>
      <w:hyperlink r:id="rId13" w:history="1">
        <w:r w:rsidR="00C17C43" w:rsidRPr="005D2450">
          <w:rPr>
            <w:rStyle w:val="Hyperlink"/>
            <w:sz w:val="24"/>
            <w:szCs w:val="24"/>
          </w:rPr>
          <w:t>http://www.moedu-sail.org</w:t>
        </w:r>
      </w:hyperlink>
      <w:r w:rsidR="00C17C43">
        <w:rPr>
          <w:sz w:val="24"/>
          <w:szCs w:val="24"/>
        </w:rPr>
        <w:t xml:space="preserve"> </w:t>
      </w:r>
      <w:r>
        <w:rPr>
          <w:sz w:val="24"/>
          <w:szCs w:val="24"/>
        </w:rPr>
        <w:t>(2016)</w:t>
      </w:r>
    </w:p>
    <w:p w:rsidR="00EC5C2F" w:rsidRDefault="00EC5C2F" w:rsidP="00EC5C2F">
      <w:pPr>
        <w:pStyle w:val="NoSpacing"/>
        <w:jc w:val="right"/>
        <w:rPr>
          <w:sz w:val="24"/>
          <w:szCs w:val="24"/>
        </w:rPr>
      </w:pPr>
      <w:r>
        <w:rPr>
          <w:sz w:val="24"/>
          <w:szCs w:val="24"/>
        </w:rPr>
        <w:t xml:space="preserve">Effect sizes  from </w:t>
      </w:r>
      <w:hyperlink r:id="rId14" w:history="1">
        <w:r w:rsidRPr="005D2450">
          <w:rPr>
            <w:rStyle w:val="Hyperlink"/>
            <w:sz w:val="24"/>
            <w:szCs w:val="24"/>
          </w:rPr>
          <w:t>http://www.visibllearning.org</w:t>
        </w:r>
      </w:hyperlink>
    </w:p>
    <w:p w:rsidR="00761103" w:rsidRDefault="00761103" w:rsidP="00761103">
      <w:pPr>
        <w:rPr>
          <w:sz w:val="24"/>
          <w:szCs w:val="24"/>
        </w:rPr>
      </w:pPr>
    </w:p>
    <w:p w:rsidR="006C6375" w:rsidRDefault="006C6375">
      <w:pPr>
        <w:rPr>
          <w:sz w:val="24"/>
          <w:szCs w:val="24"/>
        </w:rPr>
      </w:pPr>
      <w:r>
        <w:rPr>
          <w:sz w:val="24"/>
          <w:szCs w:val="24"/>
        </w:rPr>
        <w:br w:type="page"/>
      </w:r>
    </w:p>
    <w:p w:rsidR="00761103" w:rsidRDefault="00761103" w:rsidP="00761103">
      <w:pPr>
        <w:pStyle w:val="NoSpacing"/>
        <w:rPr>
          <w:sz w:val="24"/>
          <w:szCs w:val="24"/>
        </w:rPr>
      </w:pPr>
    </w:p>
    <w:tbl>
      <w:tblPr>
        <w:tblStyle w:val="TableGrid"/>
        <w:tblW w:w="0" w:type="auto"/>
        <w:tblLook w:val="04A0" w:firstRow="1" w:lastRow="0" w:firstColumn="1" w:lastColumn="0" w:noHBand="0" w:noVBand="1"/>
      </w:tblPr>
      <w:tblGrid>
        <w:gridCol w:w="3258"/>
        <w:gridCol w:w="1534"/>
        <w:gridCol w:w="4558"/>
      </w:tblGrid>
      <w:tr w:rsidR="00761103" w:rsidTr="00F17DE4">
        <w:trPr>
          <w:trHeight w:val="755"/>
        </w:trPr>
        <w:tc>
          <w:tcPr>
            <w:tcW w:w="9350" w:type="dxa"/>
            <w:gridSpan w:val="3"/>
            <w:shd w:val="clear" w:color="auto" w:fill="DEECF7" w:themeFill="accent1" w:themeFillTint="33"/>
          </w:tcPr>
          <w:p w:rsidR="00761103" w:rsidRPr="00F17DE4" w:rsidRDefault="00761103" w:rsidP="009509F3">
            <w:pPr>
              <w:pStyle w:val="NoSpacing"/>
              <w:jc w:val="center"/>
              <w:rPr>
                <w:sz w:val="20"/>
                <w:szCs w:val="20"/>
              </w:rPr>
            </w:pPr>
          </w:p>
          <w:p w:rsidR="00761103" w:rsidRPr="00007ACA" w:rsidRDefault="00761103" w:rsidP="009509F3">
            <w:pPr>
              <w:pStyle w:val="NoSpacing"/>
              <w:jc w:val="center"/>
              <w:rPr>
                <w:sz w:val="28"/>
                <w:szCs w:val="28"/>
              </w:rPr>
            </w:pPr>
            <w:r w:rsidRPr="00007ACA">
              <w:rPr>
                <w:sz w:val="28"/>
                <w:szCs w:val="28"/>
              </w:rPr>
              <w:t>Effectiv</w:t>
            </w:r>
            <w:r w:rsidR="006C6375">
              <w:rPr>
                <w:sz w:val="28"/>
                <w:szCs w:val="28"/>
              </w:rPr>
              <w:t>e Teaching and Learning Practices</w:t>
            </w:r>
          </w:p>
        </w:tc>
      </w:tr>
      <w:tr w:rsidR="00761103" w:rsidTr="009509F3">
        <w:trPr>
          <w:trHeight w:val="980"/>
        </w:trPr>
        <w:tc>
          <w:tcPr>
            <w:tcW w:w="9350" w:type="dxa"/>
            <w:gridSpan w:val="3"/>
          </w:tcPr>
          <w:p w:rsidR="00761103" w:rsidRPr="00A22F8B" w:rsidRDefault="00761103" w:rsidP="009509F3">
            <w:pPr>
              <w:pStyle w:val="NoSpacing"/>
              <w:jc w:val="both"/>
              <w:rPr>
                <w:sz w:val="24"/>
                <w:szCs w:val="24"/>
              </w:rPr>
            </w:pPr>
            <w:r>
              <w:rPr>
                <w:sz w:val="24"/>
                <w:szCs w:val="24"/>
              </w:rPr>
              <w:t>Effective Teaching/Learning Practices at the classroom level are evidence-based effective methods that ae not content related and when implemented with fidelity and informed through data can produce positive, sustained results for every student.</w:t>
            </w:r>
          </w:p>
        </w:tc>
      </w:tr>
      <w:tr w:rsidR="00761103" w:rsidTr="00F17DE4">
        <w:trPr>
          <w:trHeight w:val="890"/>
        </w:trPr>
        <w:tc>
          <w:tcPr>
            <w:tcW w:w="9350" w:type="dxa"/>
            <w:gridSpan w:val="3"/>
          </w:tcPr>
          <w:p w:rsidR="00761103" w:rsidRPr="00D87DEB" w:rsidRDefault="00761103" w:rsidP="009509F3">
            <w:pPr>
              <w:pStyle w:val="NoSpacing"/>
              <w:jc w:val="center"/>
              <w:rPr>
                <w:sz w:val="20"/>
                <w:szCs w:val="20"/>
              </w:rPr>
            </w:pPr>
          </w:p>
          <w:p w:rsidR="00761103" w:rsidRPr="00007ACA" w:rsidRDefault="006A08A7" w:rsidP="009509F3">
            <w:pPr>
              <w:pStyle w:val="NoSpacing"/>
              <w:jc w:val="center"/>
              <w:rPr>
                <w:b/>
                <w:sz w:val="28"/>
                <w:szCs w:val="28"/>
              </w:rPr>
            </w:pPr>
            <w:r w:rsidRPr="00007ACA">
              <w:rPr>
                <w:b/>
                <w:sz w:val="28"/>
                <w:szCs w:val="28"/>
              </w:rPr>
              <w:t>Instructional Practices</w:t>
            </w:r>
          </w:p>
        </w:tc>
      </w:tr>
      <w:tr w:rsidR="00761103" w:rsidTr="00961800">
        <w:tc>
          <w:tcPr>
            <w:tcW w:w="3258" w:type="dxa"/>
            <w:shd w:val="clear" w:color="auto" w:fill="DEECF7" w:themeFill="accent1" w:themeFillTint="33"/>
          </w:tcPr>
          <w:p w:rsidR="00761103" w:rsidRDefault="00761103" w:rsidP="009509F3">
            <w:pPr>
              <w:pStyle w:val="NoSpacing"/>
              <w:jc w:val="center"/>
              <w:rPr>
                <w:sz w:val="24"/>
                <w:szCs w:val="24"/>
              </w:rPr>
            </w:pPr>
            <w:r>
              <w:rPr>
                <w:sz w:val="24"/>
                <w:szCs w:val="24"/>
              </w:rPr>
              <w:t>Name of Package</w:t>
            </w:r>
          </w:p>
        </w:tc>
        <w:tc>
          <w:tcPr>
            <w:tcW w:w="1534" w:type="dxa"/>
            <w:shd w:val="clear" w:color="auto" w:fill="DEECF7" w:themeFill="accent1" w:themeFillTint="33"/>
          </w:tcPr>
          <w:p w:rsidR="00761103" w:rsidRDefault="00761103" w:rsidP="009509F3">
            <w:pPr>
              <w:pStyle w:val="NoSpacing"/>
              <w:jc w:val="center"/>
              <w:rPr>
                <w:sz w:val="24"/>
                <w:szCs w:val="24"/>
              </w:rPr>
            </w:pPr>
            <w:r>
              <w:rPr>
                <w:sz w:val="24"/>
                <w:szCs w:val="24"/>
              </w:rPr>
              <w:t>Effect Size</w:t>
            </w:r>
          </w:p>
          <w:p w:rsidR="00761103" w:rsidRDefault="00761103" w:rsidP="009509F3">
            <w:pPr>
              <w:pStyle w:val="NoSpacing"/>
              <w:jc w:val="center"/>
              <w:rPr>
                <w:sz w:val="12"/>
                <w:szCs w:val="12"/>
              </w:rPr>
            </w:pPr>
          </w:p>
          <w:p w:rsidR="00761103" w:rsidRDefault="00761103" w:rsidP="009509F3">
            <w:pPr>
              <w:pStyle w:val="NoSpacing"/>
              <w:jc w:val="center"/>
              <w:rPr>
                <w:sz w:val="12"/>
                <w:szCs w:val="12"/>
              </w:rPr>
            </w:pPr>
            <w:r>
              <w:rPr>
                <w:noProof/>
              </w:rPr>
              <w:drawing>
                <wp:inline distT="0" distB="0" distL="0" distR="0">
                  <wp:extent cx="552450" cy="295275"/>
                  <wp:effectExtent l="0" t="0" r="0" b="9525"/>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a:effectLst/>
                          <a:extLst/>
                        </pic:spPr>
                      </pic:pic>
                    </a:graphicData>
                  </a:graphic>
                </wp:inline>
              </w:drawing>
            </w:r>
          </w:p>
          <w:p w:rsidR="00761103" w:rsidRPr="00007ACA" w:rsidRDefault="00761103" w:rsidP="009509F3">
            <w:pPr>
              <w:pStyle w:val="NoSpacing"/>
              <w:rPr>
                <w:sz w:val="12"/>
                <w:szCs w:val="12"/>
              </w:rPr>
            </w:pPr>
          </w:p>
        </w:tc>
        <w:tc>
          <w:tcPr>
            <w:tcW w:w="4558" w:type="dxa"/>
            <w:shd w:val="clear" w:color="auto" w:fill="DEECF7" w:themeFill="accent1" w:themeFillTint="33"/>
          </w:tcPr>
          <w:p w:rsidR="00761103" w:rsidRDefault="00761103" w:rsidP="009509F3">
            <w:pPr>
              <w:pStyle w:val="NoSpacing"/>
              <w:jc w:val="center"/>
              <w:rPr>
                <w:sz w:val="24"/>
                <w:szCs w:val="24"/>
              </w:rPr>
            </w:pPr>
            <w:r>
              <w:rPr>
                <w:sz w:val="24"/>
                <w:szCs w:val="24"/>
              </w:rPr>
              <w:t>Definition</w:t>
            </w:r>
          </w:p>
        </w:tc>
      </w:tr>
      <w:tr w:rsidR="00761103" w:rsidTr="00961800">
        <w:tc>
          <w:tcPr>
            <w:tcW w:w="3258" w:type="dxa"/>
            <w:shd w:val="clear" w:color="auto" w:fill="auto"/>
          </w:tcPr>
          <w:p w:rsidR="00761103" w:rsidRDefault="00971ECC" w:rsidP="009509F3">
            <w:pPr>
              <w:pStyle w:val="NoSpacing"/>
              <w:rPr>
                <w:sz w:val="24"/>
                <w:szCs w:val="24"/>
              </w:rPr>
            </w:pPr>
            <w:r>
              <w:rPr>
                <w:sz w:val="24"/>
                <w:szCs w:val="24"/>
              </w:rPr>
              <w:t>Differentiated Instruction</w:t>
            </w:r>
          </w:p>
        </w:tc>
        <w:tc>
          <w:tcPr>
            <w:tcW w:w="1534" w:type="dxa"/>
          </w:tcPr>
          <w:p w:rsidR="00961800" w:rsidRDefault="00961800" w:rsidP="00961800">
            <w:pPr>
              <w:pStyle w:val="NoSpacing"/>
              <w:jc w:val="center"/>
              <w:rPr>
                <w:sz w:val="24"/>
                <w:szCs w:val="24"/>
              </w:rPr>
            </w:pPr>
            <w:r>
              <w:rPr>
                <w:sz w:val="24"/>
                <w:szCs w:val="24"/>
              </w:rPr>
              <w:t xml:space="preserve">0.60 </w:t>
            </w:r>
          </w:p>
          <w:p w:rsidR="00961800" w:rsidRDefault="00961800" w:rsidP="00961800">
            <w:pPr>
              <w:pStyle w:val="NoSpacing"/>
              <w:jc w:val="center"/>
              <w:rPr>
                <w:sz w:val="16"/>
                <w:szCs w:val="16"/>
              </w:rPr>
            </w:pPr>
            <w:r>
              <w:rPr>
                <w:sz w:val="16"/>
                <w:szCs w:val="16"/>
              </w:rPr>
              <w:t>(2009</w:t>
            </w:r>
            <w:r w:rsidRPr="00EF40E1">
              <w:rPr>
                <w:sz w:val="16"/>
                <w:szCs w:val="16"/>
              </w:rPr>
              <w:t>)</w:t>
            </w:r>
          </w:p>
          <w:p w:rsidR="00961800" w:rsidRPr="00961800" w:rsidRDefault="00961800" w:rsidP="00961800">
            <w:pPr>
              <w:pStyle w:val="NoSpacing"/>
              <w:jc w:val="center"/>
              <w:rPr>
                <w:sz w:val="4"/>
                <w:szCs w:val="4"/>
              </w:rPr>
            </w:pPr>
          </w:p>
          <w:p w:rsidR="00961800" w:rsidRDefault="00961800" w:rsidP="00961800">
            <w:pPr>
              <w:pStyle w:val="NoSpacing"/>
              <w:jc w:val="center"/>
              <w:rPr>
                <w:sz w:val="24"/>
                <w:szCs w:val="24"/>
              </w:rPr>
            </w:pPr>
            <w:r>
              <w:rPr>
                <w:sz w:val="24"/>
                <w:szCs w:val="24"/>
              </w:rPr>
              <w:t>0.62</w:t>
            </w:r>
          </w:p>
          <w:p w:rsidR="00961800" w:rsidRDefault="00961800" w:rsidP="00961800">
            <w:pPr>
              <w:pStyle w:val="NoSpacing"/>
              <w:jc w:val="center"/>
              <w:rPr>
                <w:sz w:val="16"/>
                <w:szCs w:val="16"/>
              </w:rPr>
            </w:pPr>
            <w:r>
              <w:rPr>
                <w:sz w:val="16"/>
                <w:szCs w:val="16"/>
              </w:rPr>
              <w:t>(2011)</w:t>
            </w:r>
          </w:p>
          <w:p w:rsidR="00961800" w:rsidRPr="00961800" w:rsidRDefault="00961800" w:rsidP="00961800">
            <w:pPr>
              <w:pStyle w:val="NoSpacing"/>
              <w:jc w:val="center"/>
              <w:rPr>
                <w:sz w:val="4"/>
                <w:szCs w:val="4"/>
              </w:rPr>
            </w:pPr>
          </w:p>
          <w:p w:rsidR="00961800" w:rsidRDefault="00961800" w:rsidP="00961800">
            <w:pPr>
              <w:pStyle w:val="NoSpacing"/>
              <w:jc w:val="center"/>
              <w:rPr>
                <w:sz w:val="24"/>
                <w:szCs w:val="24"/>
              </w:rPr>
            </w:pPr>
            <w:r>
              <w:rPr>
                <w:sz w:val="24"/>
                <w:szCs w:val="24"/>
              </w:rPr>
              <w:t>0.60</w:t>
            </w:r>
          </w:p>
          <w:p w:rsidR="00761103" w:rsidRDefault="00961800" w:rsidP="00961800">
            <w:pPr>
              <w:pStyle w:val="NoSpacing"/>
              <w:jc w:val="center"/>
              <w:rPr>
                <w:sz w:val="24"/>
                <w:szCs w:val="24"/>
              </w:rPr>
            </w:pPr>
            <w:r w:rsidRPr="00EF40E1">
              <w:rPr>
                <w:sz w:val="16"/>
                <w:szCs w:val="16"/>
              </w:rPr>
              <w:t>(2015)</w:t>
            </w:r>
          </w:p>
        </w:tc>
        <w:tc>
          <w:tcPr>
            <w:tcW w:w="4558" w:type="dxa"/>
          </w:tcPr>
          <w:p w:rsidR="00761103" w:rsidRDefault="00875D14" w:rsidP="00875D14">
            <w:pPr>
              <w:pStyle w:val="NoSpacing"/>
              <w:jc w:val="both"/>
              <w:rPr>
                <w:sz w:val="24"/>
                <w:szCs w:val="24"/>
              </w:rPr>
            </w:pPr>
            <w:r w:rsidRPr="00875D14">
              <w:rPr>
                <w:sz w:val="24"/>
                <w:szCs w:val="24"/>
              </w:rPr>
              <w:t xml:space="preserve">Differentiated instruction is an instructional process </w:t>
            </w:r>
            <w:r w:rsidR="00693B5F">
              <w:rPr>
                <w:sz w:val="24"/>
                <w:szCs w:val="24"/>
              </w:rPr>
              <w:t>in which teachers proactively modify</w:t>
            </w:r>
            <w:r w:rsidRPr="00875D14">
              <w:rPr>
                <w:sz w:val="24"/>
                <w:szCs w:val="24"/>
              </w:rPr>
              <w:t xml:space="preserve"> curriculum, instruction, learning activities, and student products to maximize each student’s growth and individual success by meeting their learning needs.</w:t>
            </w:r>
          </w:p>
        </w:tc>
      </w:tr>
      <w:tr w:rsidR="00761103" w:rsidTr="00961800">
        <w:tc>
          <w:tcPr>
            <w:tcW w:w="3258" w:type="dxa"/>
            <w:shd w:val="clear" w:color="auto" w:fill="auto"/>
          </w:tcPr>
          <w:p w:rsidR="00761103" w:rsidRDefault="00971ECC" w:rsidP="009509F3">
            <w:pPr>
              <w:pStyle w:val="NoSpacing"/>
              <w:rPr>
                <w:sz w:val="24"/>
                <w:szCs w:val="24"/>
              </w:rPr>
            </w:pPr>
            <w:r>
              <w:rPr>
                <w:sz w:val="24"/>
                <w:szCs w:val="24"/>
              </w:rPr>
              <w:t>Direct Instruction</w:t>
            </w:r>
          </w:p>
        </w:tc>
        <w:tc>
          <w:tcPr>
            <w:tcW w:w="1534" w:type="dxa"/>
          </w:tcPr>
          <w:p w:rsidR="00961800" w:rsidRDefault="00961800" w:rsidP="00961800">
            <w:pPr>
              <w:pStyle w:val="NoSpacing"/>
              <w:jc w:val="center"/>
              <w:rPr>
                <w:sz w:val="24"/>
                <w:szCs w:val="24"/>
              </w:rPr>
            </w:pPr>
            <w:r>
              <w:rPr>
                <w:sz w:val="24"/>
                <w:szCs w:val="24"/>
              </w:rPr>
              <w:t xml:space="preserve">0.59 </w:t>
            </w:r>
          </w:p>
          <w:p w:rsidR="00961800" w:rsidRPr="00EF40E1" w:rsidRDefault="00961800" w:rsidP="00961800">
            <w:pPr>
              <w:pStyle w:val="NoSpacing"/>
              <w:jc w:val="center"/>
              <w:rPr>
                <w:sz w:val="16"/>
                <w:szCs w:val="16"/>
              </w:rPr>
            </w:pPr>
            <w:r w:rsidRPr="00EF40E1">
              <w:rPr>
                <w:sz w:val="16"/>
                <w:szCs w:val="16"/>
              </w:rPr>
              <w:t>(2009, 2011)</w:t>
            </w:r>
          </w:p>
          <w:p w:rsidR="00961800" w:rsidRPr="00EF40E1" w:rsidRDefault="00961800" w:rsidP="00961800">
            <w:pPr>
              <w:pStyle w:val="NoSpacing"/>
              <w:jc w:val="center"/>
              <w:rPr>
                <w:sz w:val="24"/>
                <w:szCs w:val="24"/>
              </w:rPr>
            </w:pPr>
          </w:p>
          <w:p w:rsidR="00961800" w:rsidRDefault="00961800" w:rsidP="00961800">
            <w:pPr>
              <w:pStyle w:val="NoSpacing"/>
              <w:jc w:val="center"/>
              <w:rPr>
                <w:sz w:val="24"/>
                <w:szCs w:val="24"/>
              </w:rPr>
            </w:pPr>
            <w:r>
              <w:rPr>
                <w:sz w:val="24"/>
                <w:szCs w:val="24"/>
              </w:rPr>
              <w:t>0.60</w:t>
            </w:r>
          </w:p>
          <w:p w:rsidR="00F3202A" w:rsidRPr="00F3202A" w:rsidRDefault="00961800" w:rsidP="00961800">
            <w:pPr>
              <w:pStyle w:val="NoSpacing"/>
              <w:jc w:val="center"/>
              <w:rPr>
                <w:b/>
                <w:sz w:val="24"/>
                <w:szCs w:val="24"/>
              </w:rPr>
            </w:pPr>
            <w:r w:rsidRPr="00EF40E1">
              <w:rPr>
                <w:sz w:val="16"/>
                <w:szCs w:val="16"/>
              </w:rPr>
              <w:t>(2015)</w:t>
            </w:r>
          </w:p>
        </w:tc>
        <w:tc>
          <w:tcPr>
            <w:tcW w:w="4558" w:type="dxa"/>
          </w:tcPr>
          <w:p w:rsidR="00761103" w:rsidRDefault="00875D14" w:rsidP="009509F3">
            <w:pPr>
              <w:pStyle w:val="NoSpacing"/>
              <w:rPr>
                <w:sz w:val="24"/>
                <w:szCs w:val="24"/>
              </w:rPr>
            </w:pPr>
            <w:r w:rsidRPr="00875D14">
              <w:rPr>
                <w:sz w:val="24"/>
                <w:szCs w:val="24"/>
              </w:rPr>
              <w:t xml:space="preserve">Direct Instruction is a model for teaching that emphasizes well-developed and carefully planned lessons designed around small learning increments and clearly defined and prescribed teaching tasks. </w:t>
            </w:r>
          </w:p>
        </w:tc>
      </w:tr>
      <w:tr w:rsidR="00971ECC" w:rsidTr="00961800">
        <w:tc>
          <w:tcPr>
            <w:tcW w:w="3258" w:type="dxa"/>
            <w:shd w:val="clear" w:color="auto" w:fill="auto"/>
          </w:tcPr>
          <w:p w:rsidR="00971ECC" w:rsidRDefault="00971ECC" w:rsidP="009509F3">
            <w:pPr>
              <w:pStyle w:val="NoSpacing"/>
              <w:rPr>
                <w:sz w:val="24"/>
                <w:szCs w:val="24"/>
              </w:rPr>
            </w:pPr>
            <w:r>
              <w:rPr>
                <w:sz w:val="24"/>
                <w:szCs w:val="24"/>
              </w:rPr>
              <w:t>Reciprocal Teaching</w:t>
            </w:r>
          </w:p>
        </w:tc>
        <w:tc>
          <w:tcPr>
            <w:tcW w:w="1534" w:type="dxa"/>
          </w:tcPr>
          <w:p w:rsidR="00971ECC" w:rsidRDefault="00534E12" w:rsidP="009509F3">
            <w:pPr>
              <w:pStyle w:val="NoSpacing"/>
              <w:jc w:val="center"/>
              <w:rPr>
                <w:sz w:val="24"/>
                <w:szCs w:val="24"/>
              </w:rPr>
            </w:pPr>
            <w:r>
              <w:rPr>
                <w:sz w:val="24"/>
                <w:szCs w:val="24"/>
              </w:rPr>
              <w:t>0.74</w:t>
            </w:r>
          </w:p>
          <w:p w:rsidR="00961800" w:rsidRPr="00961800" w:rsidRDefault="00961800" w:rsidP="009509F3">
            <w:pPr>
              <w:pStyle w:val="NoSpacing"/>
              <w:jc w:val="center"/>
              <w:rPr>
                <w:sz w:val="16"/>
                <w:szCs w:val="16"/>
              </w:rPr>
            </w:pPr>
            <w:r>
              <w:rPr>
                <w:sz w:val="16"/>
                <w:szCs w:val="16"/>
              </w:rPr>
              <w:t>(2009, 2011, 2015)</w:t>
            </w:r>
          </w:p>
        </w:tc>
        <w:tc>
          <w:tcPr>
            <w:tcW w:w="4558" w:type="dxa"/>
          </w:tcPr>
          <w:p w:rsidR="00971ECC" w:rsidRDefault="00875D14" w:rsidP="00D436B7">
            <w:pPr>
              <w:pStyle w:val="NoSpacing"/>
              <w:rPr>
                <w:sz w:val="24"/>
                <w:szCs w:val="24"/>
              </w:rPr>
            </w:pPr>
            <w:r w:rsidRPr="00875D14">
              <w:rPr>
                <w:sz w:val="24"/>
                <w:szCs w:val="24"/>
              </w:rPr>
              <w:t>Reciprocal teaching is</w:t>
            </w:r>
            <w:r w:rsidR="00D436B7">
              <w:rPr>
                <w:sz w:val="24"/>
                <w:szCs w:val="24"/>
              </w:rPr>
              <w:t xml:space="preserve"> defined as the process of teaching students how to learn</w:t>
            </w:r>
            <w:r w:rsidRPr="00875D14">
              <w:rPr>
                <w:sz w:val="24"/>
                <w:szCs w:val="24"/>
              </w:rPr>
              <w:t xml:space="preserve"> </w:t>
            </w:r>
            <w:r w:rsidR="00D436B7">
              <w:rPr>
                <w:sz w:val="24"/>
                <w:szCs w:val="24"/>
              </w:rPr>
              <w:t xml:space="preserve">by </w:t>
            </w:r>
            <w:r w:rsidRPr="00D436B7">
              <w:rPr>
                <w:iCs/>
                <w:sz w:val="24"/>
                <w:szCs w:val="24"/>
              </w:rPr>
              <w:t>summarizing, questioning, clarifying, and predicting</w:t>
            </w:r>
            <w:r w:rsidR="00D436B7">
              <w:rPr>
                <w:iCs/>
                <w:sz w:val="24"/>
                <w:szCs w:val="24"/>
              </w:rPr>
              <w:t xml:space="preserve"> content. Using this practice allows students to take turns being the teacher. </w:t>
            </w:r>
          </w:p>
        </w:tc>
      </w:tr>
      <w:tr w:rsidR="00971ECC" w:rsidTr="00961800">
        <w:tc>
          <w:tcPr>
            <w:tcW w:w="3258" w:type="dxa"/>
            <w:shd w:val="clear" w:color="auto" w:fill="auto"/>
          </w:tcPr>
          <w:p w:rsidR="00971ECC" w:rsidRDefault="005146DE" w:rsidP="009509F3">
            <w:pPr>
              <w:pStyle w:val="NoSpacing"/>
              <w:rPr>
                <w:sz w:val="24"/>
                <w:szCs w:val="24"/>
              </w:rPr>
            </w:pPr>
            <w:r>
              <w:rPr>
                <w:sz w:val="24"/>
                <w:szCs w:val="24"/>
              </w:rPr>
              <w:t>Student Practice:</w:t>
            </w:r>
            <w:r w:rsidR="00971ECC">
              <w:rPr>
                <w:sz w:val="24"/>
                <w:szCs w:val="24"/>
              </w:rPr>
              <w:t xml:space="preserve"> Spaced vs Massed</w:t>
            </w:r>
          </w:p>
        </w:tc>
        <w:tc>
          <w:tcPr>
            <w:tcW w:w="1534" w:type="dxa"/>
          </w:tcPr>
          <w:p w:rsidR="00961800" w:rsidRDefault="00961800" w:rsidP="00961800">
            <w:pPr>
              <w:pStyle w:val="NoSpacing"/>
              <w:jc w:val="center"/>
              <w:rPr>
                <w:sz w:val="24"/>
                <w:szCs w:val="24"/>
              </w:rPr>
            </w:pPr>
            <w:r>
              <w:rPr>
                <w:sz w:val="24"/>
                <w:szCs w:val="24"/>
              </w:rPr>
              <w:t xml:space="preserve">0.71 </w:t>
            </w:r>
          </w:p>
          <w:p w:rsidR="00961800" w:rsidRPr="00EF40E1" w:rsidRDefault="00961800" w:rsidP="00961800">
            <w:pPr>
              <w:pStyle w:val="NoSpacing"/>
              <w:jc w:val="center"/>
              <w:rPr>
                <w:sz w:val="16"/>
                <w:szCs w:val="16"/>
              </w:rPr>
            </w:pPr>
            <w:r w:rsidRPr="00EF40E1">
              <w:rPr>
                <w:sz w:val="16"/>
                <w:szCs w:val="16"/>
              </w:rPr>
              <w:t>(2009, 2011)</w:t>
            </w:r>
          </w:p>
          <w:p w:rsidR="00961800" w:rsidRPr="00EF40E1" w:rsidRDefault="00961800" w:rsidP="00961800">
            <w:pPr>
              <w:pStyle w:val="NoSpacing"/>
              <w:jc w:val="center"/>
              <w:rPr>
                <w:sz w:val="24"/>
                <w:szCs w:val="24"/>
              </w:rPr>
            </w:pPr>
          </w:p>
          <w:p w:rsidR="00961800" w:rsidRDefault="00961800" w:rsidP="00961800">
            <w:pPr>
              <w:pStyle w:val="NoSpacing"/>
              <w:jc w:val="center"/>
              <w:rPr>
                <w:sz w:val="24"/>
                <w:szCs w:val="24"/>
              </w:rPr>
            </w:pPr>
            <w:r>
              <w:rPr>
                <w:sz w:val="24"/>
                <w:szCs w:val="24"/>
              </w:rPr>
              <w:t>0.60</w:t>
            </w:r>
          </w:p>
          <w:p w:rsidR="00971ECC" w:rsidRDefault="00961800" w:rsidP="00961800">
            <w:pPr>
              <w:pStyle w:val="NoSpacing"/>
              <w:jc w:val="center"/>
              <w:rPr>
                <w:sz w:val="24"/>
                <w:szCs w:val="24"/>
              </w:rPr>
            </w:pPr>
            <w:r w:rsidRPr="00EF40E1">
              <w:rPr>
                <w:sz w:val="16"/>
                <w:szCs w:val="16"/>
              </w:rPr>
              <w:t>(2015)</w:t>
            </w:r>
          </w:p>
        </w:tc>
        <w:tc>
          <w:tcPr>
            <w:tcW w:w="4558" w:type="dxa"/>
          </w:tcPr>
          <w:p w:rsidR="00971ECC" w:rsidRPr="005146DE" w:rsidRDefault="005146DE" w:rsidP="005146DE">
            <w:pPr>
              <w:pStyle w:val="NoSpacing"/>
              <w:rPr>
                <w:rFonts w:cs="Arial"/>
                <w:sz w:val="24"/>
                <w:szCs w:val="24"/>
              </w:rPr>
            </w:pPr>
            <w:r>
              <w:rPr>
                <w:rFonts w:cs="Arial"/>
                <w:sz w:val="24"/>
                <w:szCs w:val="24"/>
              </w:rPr>
              <w:t xml:space="preserve">Massed Practice refers to conditions in which individuals practice a task continuously without rest. Spaced Practice refers to conditions in which individuals are given rest intervals within the practice sessions. </w:t>
            </w:r>
          </w:p>
        </w:tc>
      </w:tr>
    </w:tbl>
    <w:p w:rsidR="00761103" w:rsidRDefault="00761103" w:rsidP="00761103">
      <w:pPr>
        <w:pStyle w:val="NoSpacing"/>
        <w:rPr>
          <w:sz w:val="24"/>
          <w:szCs w:val="24"/>
        </w:rPr>
      </w:pPr>
    </w:p>
    <w:p w:rsidR="006C6375" w:rsidRDefault="006C6375" w:rsidP="00761103">
      <w:pPr>
        <w:pStyle w:val="NoSpacing"/>
        <w:rPr>
          <w:sz w:val="24"/>
          <w:szCs w:val="24"/>
        </w:rPr>
      </w:pPr>
    </w:p>
    <w:p w:rsidR="00EC5C2F" w:rsidRDefault="006C6375" w:rsidP="006C6375">
      <w:pPr>
        <w:pStyle w:val="NoSpacing"/>
        <w:jc w:val="right"/>
        <w:rPr>
          <w:sz w:val="24"/>
          <w:szCs w:val="24"/>
        </w:rPr>
      </w:pPr>
      <w:r>
        <w:rPr>
          <w:sz w:val="24"/>
          <w:szCs w:val="24"/>
        </w:rPr>
        <w:t xml:space="preserve">Retrieved electronically from </w:t>
      </w:r>
      <w:hyperlink r:id="rId15" w:history="1">
        <w:r w:rsidR="00C17C43" w:rsidRPr="005D2450">
          <w:rPr>
            <w:rStyle w:val="Hyperlink"/>
            <w:sz w:val="24"/>
            <w:szCs w:val="24"/>
          </w:rPr>
          <w:t>http://www.moedu-sail.org</w:t>
        </w:r>
      </w:hyperlink>
      <w:r>
        <w:rPr>
          <w:sz w:val="24"/>
          <w:szCs w:val="24"/>
        </w:rPr>
        <w:t xml:space="preserve"> </w:t>
      </w:r>
      <w:r>
        <w:rPr>
          <w:sz w:val="24"/>
          <w:szCs w:val="24"/>
        </w:rPr>
        <w:t>(2016)</w:t>
      </w:r>
    </w:p>
    <w:p w:rsidR="00761103" w:rsidRDefault="00EC5C2F" w:rsidP="006C6375">
      <w:pPr>
        <w:pStyle w:val="NoSpacing"/>
        <w:jc w:val="right"/>
        <w:rPr>
          <w:sz w:val="24"/>
          <w:szCs w:val="24"/>
        </w:rPr>
      </w:pPr>
      <w:bookmarkStart w:id="0" w:name="_GoBack"/>
      <w:bookmarkEnd w:id="0"/>
      <w:r>
        <w:rPr>
          <w:sz w:val="24"/>
          <w:szCs w:val="24"/>
        </w:rPr>
        <w:t xml:space="preserve">Effect sizes  from </w:t>
      </w:r>
      <w:hyperlink r:id="rId16" w:history="1">
        <w:r w:rsidRPr="005D2450">
          <w:rPr>
            <w:rStyle w:val="Hyperlink"/>
            <w:sz w:val="24"/>
            <w:szCs w:val="24"/>
          </w:rPr>
          <w:t>http://www.visibllearning.org</w:t>
        </w:r>
      </w:hyperlink>
      <w:r>
        <w:rPr>
          <w:sz w:val="24"/>
          <w:szCs w:val="24"/>
        </w:rPr>
        <w:t xml:space="preserve"> </w:t>
      </w:r>
      <w:r w:rsidR="00761103">
        <w:rPr>
          <w:sz w:val="24"/>
          <w:szCs w:val="24"/>
        </w:rPr>
        <w:br w:type="page"/>
      </w:r>
    </w:p>
    <w:p w:rsidR="00761103" w:rsidRDefault="00761103" w:rsidP="00761103">
      <w:pPr>
        <w:rPr>
          <w:sz w:val="24"/>
          <w:szCs w:val="24"/>
        </w:rPr>
      </w:pPr>
    </w:p>
    <w:p w:rsidR="00761103" w:rsidRDefault="00761103" w:rsidP="00761103">
      <w:pPr>
        <w:pStyle w:val="NoSpacing"/>
        <w:rPr>
          <w:sz w:val="24"/>
          <w:szCs w:val="24"/>
        </w:rPr>
      </w:pPr>
    </w:p>
    <w:tbl>
      <w:tblPr>
        <w:tblStyle w:val="TableGrid"/>
        <w:tblW w:w="0" w:type="auto"/>
        <w:tblLook w:val="04A0" w:firstRow="1" w:lastRow="0" w:firstColumn="1" w:lastColumn="0" w:noHBand="0" w:noVBand="1"/>
      </w:tblPr>
      <w:tblGrid>
        <w:gridCol w:w="3384"/>
        <w:gridCol w:w="1408"/>
        <w:gridCol w:w="4558"/>
      </w:tblGrid>
      <w:tr w:rsidR="00761103" w:rsidTr="00844E78">
        <w:trPr>
          <w:trHeight w:val="845"/>
        </w:trPr>
        <w:tc>
          <w:tcPr>
            <w:tcW w:w="9350" w:type="dxa"/>
            <w:gridSpan w:val="3"/>
            <w:shd w:val="clear" w:color="auto" w:fill="DEECF7" w:themeFill="accent1" w:themeFillTint="33"/>
          </w:tcPr>
          <w:p w:rsidR="00761103" w:rsidRPr="00D87DEB" w:rsidRDefault="00761103" w:rsidP="009509F3">
            <w:pPr>
              <w:pStyle w:val="NoSpacing"/>
              <w:jc w:val="center"/>
              <w:rPr>
                <w:sz w:val="20"/>
                <w:szCs w:val="20"/>
              </w:rPr>
            </w:pPr>
          </w:p>
          <w:p w:rsidR="00761103" w:rsidRPr="00007ACA" w:rsidRDefault="006A08A7" w:rsidP="009509F3">
            <w:pPr>
              <w:pStyle w:val="NoSpacing"/>
              <w:jc w:val="center"/>
              <w:rPr>
                <w:sz w:val="28"/>
                <w:szCs w:val="28"/>
              </w:rPr>
            </w:pPr>
            <w:r w:rsidRPr="00007ACA">
              <w:rPr>
                <w:sz w:val="28"/>
                <w:szCs w:val="28"/>
              </w:rPr>
              <w:t>Implementation Supports</w:t>
            </w:r>
          </w:p>
        </w:tc>
      </w:tr>
      <w:tr w:rsidR="00844E78" w:rsidTr="00844E78">
        <w:trPr>
          <w:trHeight w:val="845"/>
        </w:trPr>
        <w:tc>
          <w:tcPr>
            <w:tcW w:w="9350" w:type="dxa"/>
            <w:gridSpan w:val="3"/>
            <w:shd w:val="clear" w:color="auto" w:fill="auto"/>
          </w:tcPr>
          <w:p w:rsidR="00844E78" w:rsidRPr="0083066B" w:rsidRDefault="0083066B" w:rsidP="0083066B">
            <w:pPr>
              <w:pStyle w:val="NoSpacing"/>
              <w:jc w:val="both"/>
              <w:rPr>
                <w:sz w:val="24"/>
                <w:szCs w:val="24"/>
              </w:rPr>
            </w:pPr>
            <w:r>
              <w:rPr>
                <w:sz w:val="24"/>
                <w:szCs w:val="24"/>
              </w:rPr>
              <w:t xml:space="preserve">Implementation Supports are learning packages designed to help school staff support and enhance the implementation of </w:t>
            </w:r>
            <w:r w:rsidRPr="0083066B">
              <w:rPr>
                <w:i/>
                <w:sz w:val="24"/>
                <w:szCs w:val="24"/>
              </w:rPr>
              <w:t>Effective Teaching &amp; Learning Practices</w:t>
            </w:r>
            <w:r>
              <w:rPr>
                <w:sz w:val="24"/>
                <w:szCs w:val="24"/>
              </w:rPr>
              <w:t xml:space="preserve"> through using technology and peer coaching supports.</w:t>
            </w:r>
          </w:p>
        </w:tc>
      </w:tr>
      <w:tr w:rsidR="00761103" w:rsidTr="00844E78">
        <w:tc>
          <w:tcPr>
            <w:tcW w:w="3384" w:type="dxa"/>
            <w:shd w:val="clear" w:color="auto" w:fill="DEECF7" w:themeFill="accent1" w:themeFillTint="33"/>
          </w:tcPr>
          <w:p w:rsidR="00761103" w:rsidRDefault="00761103" w:rsidP="009509F3">
            <w:pPr>
              <w:pStyle w:val="NoSpacing"/>
              <w:jc w:val="center"/>
              <w:rPr>
                <w:sz w:val="24"/>
                <w:szCs w:val="24"/>
              </w:rPr>
            </w:pPr>
            <w:r>
              <w:rPr>
                <w:sz w:val="24"/>
                <w:szCs w:val="24"/>
              </w:rPr>
              <w:t>Name of Package</w:t>
            </w:r>
          </w:p>
        </w:tc>
        <w:tc>
          <w:tcPr>
            <w:tcW w:w="1408" w:type="dxa"/>
            <w:shd w:val="clear" w:color="auto" w:fill="DEECF7" w:themeFill="accent1" w:themeFillTint="33"/>
          </w:tcPr>
          <w:p w:rsidR="00761103" w:rsidRDefault="00761103" w:rsidP="009509F3">
            <w:pPr>
              <w:pStyle w:val="NoSpacing"/>
              <w:jc w:val="center"/>
              <w:rPr>
                <w:sz w:val="24"/>
                <w:szCs w:val="24"/>
              </w:rPr>
            </w:pPr>
            <w:r>
              <w:rPr>
                <w:sz w:val="24"/>
                <w:szCs w:val="24"/>
              </w:rPr>
              <w:t>Effect Size</w:t>
            </w:r>
          </w:p>
          <w:p w:rsidR="00761103" w:rsidRDefault="00761103" w:rsidP="009509F3">
            <w:pPr>
              <w:pStyle w:val="NoSpacing"/>
              <w:jc w:val="center"/>
              <w:rPr>
                <w:sz w:val="12"/>
                <w:szCs w:val="12"/>
              </w:rPr>
            </w:pPr>
          </w:p>
          <w:p w:rsidR="00761103" w:rsidRDefault="00761103" w:rsidP="009509F3">
            <w:pPr>
              <w:pStyle w:val="NoSpacing"/>
              <w:jc w:val="center"/>
              <w:rPr>
                <w:sz w:val="12"/>
                <w:szCs w:val="12"/>
              </w:rPr>
            </w:pPr>
            <w:r>
              <w:rPr>
                <w:noProof/>
              </w:rPr>
              <w:drawing>
                <wp:inline distT="0" distB="0" distL="0" distR="0">
                  <wp:extent cx="552450" cy="295275"/>
                  <wp:effectExtent l="0" t="0" r="0" b="952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a:effectLst/>
                          <a:extLst/>
                        </pic:spPr>
                      </pic:pic>
                    </a:graphicData>
                  </a:graphic>
                </wp:inline>
              </w:drawing>
            </w:r>
          </w:p>
          <w:p w:rsidR="00761103" w:rsidRPr="00007ACA" w:rsidRDefault="00761103" w:rsidP="009509F3">
            <w:pPr>
              <w:pStyle w:val="NoSpacing"/>
              <w:rPr>
                <w:sz w:val="12"/>
                <w:szCs w:val="12"/>
              </w:rPr>
            </w:pPr>
          </w:p>
        </w:tc>
        <w:tc>
          <w:tcPr>
            <w:tcW w:w="4558" w:type="dxa"/>
            <w:shd w:val="clear" w:color="auto" w:fill="DEECF7" w:themeFill="accent1" w:themeFillTint="33"/>
          </w:tcPr>
          <w:p w:rsidR="00761103" w:rsidRDefault="00761103" w:rsidP="009509F3">
            <w:pPr>
              <w:pStyle w:val="NoSpacing"/>
              <w:jc w:val="center"/>
              <w:rPr>
                <w:sz w:val="24"/>
                <w:szCs w:val="24"/>
              </w:rPr>
            </w:pPr>
            <w:r>
              <w:rPr>
                <w:sz w:val="24"/>
                <w:szCs w:val="24"/>
              </w:rPr>
              <w:t>Definition</w:t>
            </w:r>
          </w:p>
        </w:tc>
      </w:tr>
      <w:tr w:rsidR="00761103" w:rsidTr="008A3DE6">
        <w:tc>
          <w:tcPr>
            <w:tcW w:w="3384" w:type="dxa"/>
            <w:shd w:val="clear" w:color="auto" w:fill="auto"/>
          </w:tcPr>
          <w:p w:rsidR="00761103" w:rsidRDefault="00971ECC" w:rsidP="006A08A7">
            <w:pPr>
              <w:pStyle w:val="NoSpacing"/>
              <w:rPr>
                <w:sz w:val="24"/>
                <w:szCs w:val="24"/>
              </w:rPr>
            </w:pPr>
            <w:r>
              <w:rPr>
                <w:sz w:val="24"/>
                <w:szCs w:val="24"/>
              </w:rPr>
              <w:t>Using Technology to Support CW</w:t>
            </w:r>
          </w:p>
        </w:tc>
        <w:tc>
          <w:tcPr>
            <w:tcW w:w="1408" w:type="dxa"/>
          </w:tcPr>
          <w:p w:rsidR="00761103" w:rsidRDefault="00534E12" w:rsidP="009509F3">
            <w:pPr>
              <w:pStyle w:val="NoSpacing"/>
              <w:jc w:val="center"/>
              <w:rPr>
                <w:sz w:val="24"/>
                <w:szCs w:val="24"/>
              </w:rPr>
            </w:pPr>
            <w:r>
              <w:rPr>
                <w:sz w:val="24"/>
                <w:szCs w:val="24"/>
              </w:rPr>
              <w:t>NA</w:t>
            </w:r>
          </w:p>
        </w:tc>
        <w:tc>
          <w:tcPr>
            <w:tcW w:w="4558" w:type="dxa"/>
          </w:tcPr>
          <w:p w:rsidR="00761103" w:rsidRDefault="003F02BC" w:rsidP="003F02BC">
            <w:pPr>
              <w:pStyle w:val="NoSpacing"/>
              <w:jc w:val="both"/>
              <w:rPr>
                <w:sz w:val="24"/>
                <w:szCs w:val="24"/>
              </w:rPr>
            </w:pPr>
            <w:r>
              <w:rPr>
                <w:sz w:val="24"/>
                <w:szCs w:val="24"/>
              </w:rPr>
              <w:t>Participants will examine and practice technology applications to support CW, including common formative assessments and four selected effective learning practices.</w:t>
            </w:r>
          </w:p>
        </w:tc>
      </w:tr>
      <w:tr w:rsidR="00761103" w:rsidTr="008A3DE6">
        <w:tc>
          <w:tcPr>
            <w:tcW w:w="3384" w:type="dxa"/>
            <w:shd w:val="clear" w:color="auto" w:fill="auto"/>
          </w:tcPr>
          <w:p w:rsidR="00761103" w:rsidRDefault="00971ECC" w:rsidP="009509F3">
            <w:pPr>
              <w:pStyle w:val="NoSpacing"/>
              <w:rPr>
                <w:sz w:val="24"/>
                <w:szCs w:val="24"/>
              </w:rPr>
            </w:pPr>
            <w:r>
              <w:rPr>
                <w:sz w:val="24"/>
                <w:szCs w:val="24"/>
              </w:rPr>
              <w:t>Using Technology in Classroom Instruction</w:t>
            </w:r>
          </w:p>
        </w:tc>
        <w:tc>
          <w:tcPr>
            <w:tcW w:w="1408" w:type="dxa"/>
          </w:tcPr>
          <w:p w:rsidR="00761103" w:rsidRDefault="00534E12" w:rsidP="009509F3">
            <w:pPr>
              <w:pStyle w:val="NoSpacing"/>
              <w:jc w:val="center"/>
              <w:rPr>
                <w:sz w:val="24"/>
                <w:szCs w:val="24"/>
              </w:rPr>
            </w:pPr>
            <w:r>
              <w:rPr>
                <w:sz w:val="24"/>
                <w:szCs w:val="24"/>
              </w:rPr>
              <w:t>NA</w:t>
            </w:r>
          </w:p>
        </w:tc>
        <w:tc>
          <w:tcPr>
            <w:tcW w:w="4558" w:type="dxa"/>
          </w:tcPr>
          <w:p w:rsidR="00761103" w:rsidRDefault="00971ECC" w:rsidP="00400FCA">
            <w:pPr>
              <w:pStyle w:val="NoSpacing"/>
              <w:rPr>
                <w:sz w:val="24"/>
                <w:szCs w:val="24"/>
              </w:rPr>
            </w:pPr>
            <w:r w:rsidRPr="00971ECC">
              <w:rPr>
                <w:sz w:val="24"/>
                <w:szCs w:val="24"/>
              </w:rPr>
              <w:t xml:space="preserve">The use of hardware and software to enhance and provide opportunities for critical </w:t>
            </w:r>
            <w:r>
              <w:rPr>
                <w:sz w:val="24"/>
                <w:szCs w:val="24"/>
              </w:rPr>
              <w:t>thinking,</w:t>
            </w:r>
            <w:r w:rsidRPr="00971ECC">
              <w:rPr>
                <w:sz w:val="24"/>
                <w:szCs w:val="24"/>
              </w:rPr>
              <w:t xml:space="preserve"> communicating clearly, collaborative learning, creative thinking, and problem solving in the classroom.</w:t>
            </w:r>
          </w:p>
        </w:tc>
      </w:tr>
      <w:tr w:rsidR="00761103" w:rsidTr="008A3DE6">
        <w:tc>
          <w:tcPr>
            <w:tcW w:w="3384" w:type="dxa"/>
            <w:shd w:val="clear" w:color="auto" w:fill="auto"/>
          </w:tcPr>
          <w:p w:rsidR="00761103" w:rsidRDefault="00971ECC" w:rsidP="009509F3">
            <w:pPr>
              <w:pStyle w:val="NoSpacing"/>
              <w:rPr>
                <w:sz w:val="24"/>
                <w:szCs w:val="24"/>
              </w:rPr>
            </w:pPr>
            <w:r>
              <w:rPr>
                <w:sz w:val="24"/>
                <w:szCs w:val="24"/>
              </w:rPr>
              <w:t>School-Based Implementation Coaching</w:t>
            </w:r>
          </w:p>
        </w:tc>
        <w:tc>
          <w:tcPr>
            <w:tcW w:w="1408" w:type="dxa"/>
          </w:tcPr>
          <w:p w:rsidR="00761103" w:rsidRDefault="00534E12" w:rsidP="009509F3">
            <w:pPr>
              <w:pStyle w:val="NoSpacing"/>
              <w:jc w:val="center"/>
              <w:rPr>
                <w:sz w:val="24"/>
                <w:szCs w:val="24"/>
              </w:rPr>
            </w:pPr>
            <w:r>
              <w:rPr>
                <w:sz w:val="24"/>
                <w:szCs w:val="24"/>
              </w:rPr>
              <w:t>NA</w:t>
            </w:r>
          </w:p>
        </w:tc>
        <w:tc>
          <w:tcPr>
            <w:tcW w:w="4558" w:type="dxa"/>
          </w:tcPr>
          <w:p w:rsidR="00761103" w:rsidRDefault="003F02BC" w:rsidP="009509F3">
            <w:pPr>
              <w:pStyle w:val="NoSpacing"/>
              <w:rPr>
                <w:sz w:val="24"/>
                <w:szCs w:val="24"/>
              </w:rPr>
            </w:pPr>
            <w:r w:rsidRPr="003F02BC">
              <w:rPr>
                <w:sz w:val="24"/>
                <w:szCs w:val="24"/>
              </w:rPr>
              <w:t>Peer coaching is a process in which two or more professional colleagues work together for a specific, predetermined purpose in order that teaching performance can be improved as well as validated.</w:t>
            </w:r>
          </w:p>
        </w:tc>
      </w:tr>
    </w:tbl>
    <w:p w:rsidR="00E60109" w:rsidRDefault="00E60109" w:rsidP="007D6B5C">
      <w:pPr>
        <w:pStyle w:val="NoSpacing"/>
        <w:rPr>
          <w:sz w:val="24"/>
          <w:szCs w:val="24"/>
        </w:rPr>
      </w:pPr>
    </w:p>
    <w:p w:rsidR="006C6375" w:rsidRDefault="006C6375" w:rsidP="007D6B5C">
      <w:pPr>
        <w:pStyle w:val="NoSpacing"/>
        <w:rPr>
          <w:sz w:val="24"/>
          <w:szCs w:val="24"/>
        </w:rPr>
      </w:pPr>
    </w:p>
    <w:p w:rsidR="006C6375" w:rsidRDefault="006C6375" w:rsidP="006C6375">
      <w:pPr>
        <w:pStyle w:val="NoSpacing"/>
        <w:jc w:val="right"/>
        <w:rPr>
          <w:sz w:val="24"/>
          <w:szCs w:val="24"/>
        </w:rPr>
      </w:pPr>
      <w:r>
        <w:rPr>
          <w:sz w:val="24"/>
          <w:szCs w:val="24"/>
        </w:rPr>
        <w:t xml:space="preserve">Retrieved electronically from </w:t>
      </w:r>
      <w:hyperlink r:id="rId17" w:history="1">
        <w:r w:rsidR="00C17C43" w:rsidRPr="005D2450">
          <w:rPr>
            <w:rStyle w:val="Hyperlink"/>
            <w:sz w:val="24"/>
            <w:szCs w:val="24"/>
          </w:rPr>
          <w:t>http://www.moedu-sail.org</w:t>
        </w:r>
      </w:hyperlink>
      <w:r w:rsidR="00C17C43">
        <w:rPr>
          <w:sz w:val="24"/>
          <w:szCs w:val="24"/>
        </w:rPr>
        <w:t xml:space="preserve"> </w:t>
      </w:r>
      <w:r>
        <w:rPr>
          <w:sz w:val="24"/>
          <w:szCs w:val="24"/>
        </w:rPr>
        <w:t>(2016)</w:t>
      </w:r>
    </w:p>
    <w:p w:rsidR="00EC5C2F" w:rsidRPr="0033427B" w:rsidRDefault="00EC5C2F" w:rsidP="00EC5C2F">
      <w:pPr>
        <w:pStyle w:val="NoSpacing"/>
        <w:jc w:val="right"/>
        <w:rPr>
          <w:sz w:val="24"/>
          <w:szCs w:val="24"/>
        </w:rPr>
      </w:pPr>
    </w:p>
    <w:sectPr w:rsidR="00EC5C2F" w:rsidRPr="0033427B" w:rsidSect="00D2723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00" w:rsidRDefault="00461D00" w:rsidP="00461D00">
      <w:pPr>
        <w:spacing w:after="0" w:line="240" w:lineRule="auto"/>
      </w:pPr>
      <w:r>
        <w:separator/>
      </w:r>
    </w:p>
  </w:endnote>
  <w:endnote w:type="continuationSeparator" w:id="0">
    <w:p w:rsidR="00461D00" w:rsidRDefault="00461D00" w:rsidP="0046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00" w:rsidRDefault="00461D00" w:rsidP="00461D00">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CW Overview</w:t>
    </w:r>
  </w:p>
  <w:p w:rsidR="00461D00" w:rsidRDefault="00461D00" w:rsidP="00461D00">
    <w:pPr>
      <w:pStyle w:val="Footer"/>
      <w:pBdr>
        <w:top w:val="single" w:sz="12" w:space="0" w:color="0D4170" w:themeColor="accent2"/>
      </w:pBdr>
      <w:rPr>
        <w:noProof/>
      </w:rPr>
    </w:pPr>
    <w:r>
      <w:t>July 2016</w:t>
    </w:r>
    <w:r w:rsidRPr="006C30B0">
      <w:tab/>
    </w:r>
    <w:r>
      <w:t xml:space="preserve">                  </w:t>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EC5C2F">
      <w:rPr>
        <w:noProof/>
      </w:rPr>
      <w:t>1</w:t>
    </w:r>
    <w:r w:rsidRPr="006C30B0">
      <w:rPr>
        <w:noProof/>
      </w:rPr>
      <w:fldChar w:fldCharType="end"/>
    </w:r>
  </w:p>
  <w:p w:rsidR="00461D00" w:rsidRPr="00461D00" w:rsidRDefault="00461D00" w:rsidP="00461D00">
    <w:pPr>
      <w:spacing w:after="0" w:line="240" w:lineRule="auto"/>
      <w:rPr>
        <w:rFonts w:ascii="Times New Roman" w:hAnsi="Times New Roman" w:cs="Times New Roman"/>
      </w:rPr>
    </w:pPr>
    <w:r w:rsidRPr="00D049ED">
      <w:rPr>
        <w:noProof/>
      </w:rPr>
      <w:drawing>
        <wp:anchor distT="0" distB="0" distL="114300" distR="114300" simplePos="0" relativeHeight="251659264" behindDoc="0" locked="0" layoutInCell="1" allowOverlap="1" wp14:anchorId="126AE2BF" wp14:editId="29896D77">
          <wp:simplePos x="0" y="0"/>
          <wp:positionH relativeFrom="margin">
            <wp:align>left</wp:align>
          </wp:positionH>
          <wp:positionV relativeFrom="paragraph">
            <wp:posOffset>26670</wp:posOffset>
          </wp:positionV>
          <wp:extent cx="838200" cy="295275"/>
          <wp:effectExtent l="0"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1F2D">
      <w:rPr>
        <w:rFonts w:ascii="Times New Roman" w:hAnsi="Times New Roman" w:cs="Times New Roman"/>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sidRPr="00471F2D">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00" w:rsidRDefault="00461D00" w:rsidP="00461D00">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CW Overview</w:t>
    </w:r>
  </w:p>
  <w:p w:rsidR="00461D00" w:rsidRPr="00461D00" w:rsidRDefault="00461D00" w:rsidP="00461D00">
    <w:pPr>
      <w:pStyle w:val="Footer"/>
      <w:pBdr>
        <w:top w:val="single" w:sz="12" w:space="0" w:color="0D4170" w:themeColor="accent2"/>
      </w:pBdr>
      <w:rPr>
        <w:noProof/>
      </w:rPr>
    </w:pPr>
    <w:r>
      <w:t>July 2016</w:t>
    </w:r>
    <w:r w:rsidRPr="006C30B0">
      <w:tab/>
    </w:r>
    <w:r>
      <w:t xml:space="preserve">                  </w:t>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EC5C2F">
      <w:rPr>
        <w:noProof/>
      </w:rPr>
      <w:t>5</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00" w:rsidRDefault="00461D00" w:rsidP="00461D00">
      <w:pPr>
        <w:spacing w:after="0" w:line="240" w:lineRule="auto"/>
      </w:pPr>
      <w:r>
        <w:separator/>
      </w:r>
    </w:p>
  </w:footnote>
  <w:footnote w:type="continuationSeparator" w:id="0">
    <w:p w:rsidR="00461D00" w:rsidRDefault="00461D00" w:rsidP="00461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3914"/>
    <w:multiLevelType w:val="hybridMultilevel"/>
    <w:tmpl w:val="EA566978"/>
    <w:lvl w:ilvl="0" w:tplc="B3928D04">
      <w:start w:val="1"/>
      <w:numFmt w:val="bullet"/>
      <w:lvlText w:val=""/>
      <w:lvlJc w:val="left"/>
      <w:pPr>
        <w:tabs>
          <w:tab w:val="num" w:pos="720"/>
        </w:tabs>
        <w:ind w:left="720" w:hanging="360"/>
      </w:pPr>
      <w:rPr>
        <w:rFonts w:ascii="Wingdings" w:hAnsi="Wingdings" w:hint="default"/>
      </w:rPr>
    </w:lvl>
    <w:lvl w:ilvl="1" w:tplc="7A92D082" w:tentative="1">
      <w:start w:val="1"/>
      <w:numFmt w:val="bullet"/>
      <w:lvlText w:val=""/>
      <w:lvlJc w:val="left"/>
      <w:pPr>
        <w:tabs>
          <w:tab w:val="num" w:pos="1440"/>
        </w:tabs>
        <w:ind w:left="1440" w:hanging="360"/>
      </w:pPr>
      <w:rPr>
        <w:rFonts w:ascii="Wingdings" w:hAnsi="Wingdings" w:hint="default"/>
      </w:rPr>
    </w:lvl>
    <w:lvl w:ilvl="2" w:tplc="83722438" w:tentative="1">
      <w:start w:val="1"/>
      <w:numFmt w:val="bullet"/>
      <w:lvlText w:val=""/>
      <w:lvlJc w:val="left"/>
      <w:pPr>
        <w:tabs>
          <w:tab w:val="num" w:pos="2160"/>
        </w:tabs>
        <w:ind w:left="2160" w:hanging="360"/>
      </w:pPr>
      <w:rPr>
        <w:rFonts w:ascii="Wingdings" w:hAnsi="Wingdings" w:hint="default"/>
      </w:rPr>
    </w:lvl>
    <w:lvl w:ilvl="3" w:tplc="D79873BA" w:tentative="1">
      <w:start w:val="1"/>
      <w:numFmt w:val="bullet"/>
      <w:lvlText w:val=""/>
      <w:lvlJc w:val="left"/>
      <w:pPr>
        <w:tabs>
          <w:tab w:val="num" w:pos="2880"/>
        </w:tabs>
        <w:ind w:left="2880" w:hanging="360"/>
      </w:pPr>
      <w:rPr>
        <w:rFonts w:ascii="Wingdings" w:hAnsi="Wingdings" w:hint="default"/>
      </w:rPr>
    </w:lvl>
    <w:lvl w:ilvl="4" w:tplc="28908328" w:tentative="1">
      <w:start w:val="1"/>
      <w:numFmt w:val="bullet"/>
      <w:lvlText w:val=""/>
      <w:lvlJc w:val="left"/>
      <w:pPr>
        <w:tabs>
          <w:tab w:val="num" w:pos="3600"/>
        </w:tabs>
        <w:ind w:left="3600" w:hanging="360"/>
      </w:pPr>
      <w:rPr>
        <w:rFonts w:ascii="Wingdings" w:hAnsi="Wingdings" w:hint="default"/>
      </w:rPr>
    </w:lvl>
    <w:lvl w:ilvl="5" w:tplc="2786AA66" w:tentative="1">
      <w:start w:val="1"/>
      <w:numFmt w:val="bullet"/>
      <w:lvlText w:val=""/>
      <w:lvlJc w:val="left"/>
      <w:pPr>
        <w:tabs>
          <w:tab w:val="num" w:pos="4320"/>
        </w:tabs>
        <w:ind w:left="4320" w:hanging="360"/>
      </w:pPr>
      <w:rPr>
        <w:rFonts w:ascii="Wingdings" w:hAnsi="Wingdings" w:hint="default"/>
      </w:rPr>
    </w:lvl>
    <w:lvl w:ilvl="6" w:tplc="8F94885C" w:tentative="1">
      <w:start w:val="1"/>
      <w:numFmt w:val="bullet"/>
      <w:lvlText w:val=""/>
      <w:lvlJc w:val="left"/>
      <w:pPr>
        <w:tabs>
          <w:tab w:val="num" w:pos="5040"/>
        </w:tabs>
        <w:ind w:left="5040" w:hanging="360"/>
      </w:pPr>
      <w:rPr>
        <w:rFonts w:ascii="Wingdings" w:hAnsi="Wingdings" w:hint="default"/>
      </w:rPr>
    </w:lvl>
    <w:lvl w:ilvl="7" w:tplc="D76836B6" w:tentative="1">
      <w:start w:val="1"/>
      <w:numFmt w:val="bullet"/>
      <w:lvlText w:val=""/>
      <w:lvlJc w:val="left"/>
      <w:pPr>
        <w:tabs>
          <w:tab w:val="num" w:pos="5760"/>
        </w:tabs>
        <w:ind w:left="5760" w:hanging="360"/>
      </w:pPr>
      <w:rPr>
        <w:rFonts w:ascii="Wingdings" w:hAnsi="Wingdings" w:hint="default"/>
      </w:rPr>
    </w:lvl>
    <w:lvl w:ilvl="8" w:tplc="6DB099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37630"/>
    <w:multiLevelType w:val="hybridMultilevel"/>
    <w:tmpl w:val="DFB48700"/>
    <w:lvl w:ilvl="0" w:tplc="6E344442">
      <w:start w:val="1"/>
      <w:numFmt w:val="bullet"/>
      <w:lvlText w:val=""/>
      <w:lvlJc w:val="left"/>
      <w:pPr>
        <w:tabs>
          <w:tab w:val="num" w:pos="720"/>
        </w:tabs>
        <w:ind w:left="720" w:hanging="360"/>
      </w:pPr>
      <w:rPr>
        <w:rFonts w:ascii="Wingdings" w:hAnsi="Wingdings" w:hint="default"/>
      </w:rPr>
    </w:lvl>
    <w:lvl w:ilvl="1" w:tplc="0410573C" w:tentative="1">
      <w:start w:val="1"/>
      <w:numFmt w:val="bullet"/>
      <w:lvlText w:val=""/>
      <w:lvlJc w:val="left"/>
      <w:pPr>
        <w:tabs>
          <w:tab w:val="num" w:pos="1440"/>
        </w:tabs>
        <w:ind w:left="1440" w:hanging="360"/>
      </w:pPr>
      <w:rPr>
        <w:rFonts w:ascii="Wingdings" w:hAnsi="Wingdings" w:hint="default"/>
      </w:rPr>
    </w:lvl>
    <w:lvl w:ilvl="2" w:tplc="25A6A804" w:tentative="1">
      <w:start w:val="1"/>
      <w:numFmt w:val="bullet"/>
      <w:lvlText w:val=""/>
      <w:lvlJc w:val="left"/>
      <w:pPr>
        <w:tabs>
          <w:tab w:val="num" w:pos="2160"/>
        </w:tabs>
        <w:ind w:left="2160" w:hanging="360"/>
      </w:pPr>
      <w:rPr>
        <w:rFonts w:ascii="Wingdings" w:hAnsi="Wingdings" w:hint="default"/>
      </w:rPr>
    </w:lvl>
    <w:lvl w:ilvl="3" w:tplc="259638D8" w:tentative="1">
      <w:start w:val="1"/>
      <w:numFmt w:val="bullet"/>
      <w:lvlText w:val=""/>
      <w:lvlJc w:val="left"/>
      <w:pPr>
        <w:tabs>
          <w:tab w:val="num" w:pos="2880"/>
        </w:tabs>
        <w:ind w:left="2880" w:hanging="360"/>
      </w:pPr>
      <w:rPr>
        <w:rFonts w:ascii="Wingdings" w:hAnsi="Wingdings" w:hint="default"/>
      </w:rPr>
    </w:lvl>
    <w:lvl w:ilvl="4" w:tplc="FDB80B52" w:tentative="1">
      <w:start w:val="1"/>
      <w:numFmt w:val="bullet"/>
      <w:lvlText w:val=""/>
      <w:lvlJc w:val="left"/>
      <w:pPr>
        <w:tabs>
          <w:tab w:val="num" w:pos="3600"/>
        </w:tabs>
        <w:ind w:left="3600" w:hanging="360"/>
      </w:pPr>
      <w:rPr>
        <w:rFonts w:ascii="Wingdings" w:hAnsi="Wingdings" w:hint="default"/>
      </w:rPr>
    </w:lvl>
    <w:lvl w:ilvl="5" w:tplc="8BBE893A" w:tentative="1">
      <w:start w:val="1"/>
      <w:numFmt w:val="bullet"/>
      <w:lvlText w:val=""/>
      <w:lvlJc w:val="left"/>
      <w:pPr>
        <w:tabs>
          <w:tab w:val="num" w:pos="4320"/>
        </w:tabs>
        <w:ind w:left="4320" w:hanging="360"/>
      </w:pPr>
      <w:rPr>
        <w:rFonts w:ascii="Wingdings" w:hAnsi="Wingdings" w:hint="default"/>
      </w:rPr>
    </w:lvl>
    <w:lvl w:ilvl="6" w:tplc="FCCE07EE" w:tentative="1">
      <w:start w:val="1"/>
      <w:numFmt w:val="bullet"/>
      <w:lvlText w:val=""/>
      <w:lvlJc w:val="left"/>
      <w:pPr>
        <w:tabs>
          <w:tab w:val="num" w:pos="5040"/>
        </w:tabs>
        <w:ind w:left="5040" w:hanging="360"/>
      </w:pPr>
      <w:rPr>
        <w:rFonts w:ascii="Wingdings" w:hAnsi="Wingdings" w:hint="default"/>
      </w:rPr>
    </w:lvl>
    <w:lvl w:ilvl="7" w:tplc="A8CC483E" w:tentative="1">
      <w:start w:val="1"/>
      <w:numFmt w:val="bullet"/>
      <w:lvlText w:val=""/>
      <w:lvlJc w:val="left"/>
      <w:pPr>
        <w:tabs>
          <w:tab w:val="num" w:pos="5760"/>
        </w:tabs>
        <w:ind w:left="5760" w:hanging="360"/>
      </w:pPr>
      <w:rPr>
        <w:rFonts w:ascii="Wingdings" w:hAnsi="Wingdings" w:hint="default"/>
      </w:rPr>
    </w:lvl>
    <w:lvl w:ilvl="8" w:tplc="D3B08F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F5B6B"/>
    <w:multiLevelType w:val="hybridMultilevel"/>
    <w:tmpl w:val="CB60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A6DDC"/>
    <w:multiLevelType w:val="hybridMultilevel"/>
    <w:tmpl w:val="C87A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B"/>
    <w:rsid w:val="00007ACA"/>
    <w:rsid w:val="001A1984"/>
    <w:rsid w:val="0030349B"/>
    <w:rsid w:val="0033427B"/>
    <w:rsid w:val="003F02BC"/>
    <w:rsid w:val="00400FCA"/>
    <w:rsid w:val="00461D00"/>
    <w:rsid w:val="00463FC1"/>
    <w:rsid w:val="005146DE"/>
    <w:rsid w:val="005154BA"/>
    <w:rsid w:val="00534E12"/>
    <w:rsid w:val="0053505C"/>
    <w:rsid w:val="00594DDC"/>
    <w:rsid w:val="005D22E5"/>
    <w:rsid w:val="006654CB"/>
    <w:rsid w:val="00693B5F"/>
    <w:rsid w:val="006A08A7"/>
    <w:rsid w:val="006C6375"/>
    <w:rsid w:val="00722E2E"/>
    <w:rsid w:val="007474D8"/>
    <w:rsid w:val="00761103"/>
    <w:rsid w:val="007D6B5C"/>
    <w:rsid w:val="0083066B"/>
    <w:rsid w:val="00844E78"/>
    <w:rsid w:val="00875D14"/>
    <w:rsid w:val="008A3DE6"/>
    <w:rsid w:val="00930A8F"/>
    <w:rsid w:val="00961800"/>
    <w:rsid w:val="00971ECC"/>
    <w:rsid w:val="009B5D29"/>
    <w:rsid w:val="00A22F8B"/>
    <w:rsid w:val="00A5638E"/>
    <w:rsid w:val="00AB6CEE"/>
    <w:rsid w:val="00BE7BC5"/>
    <w:rsid w:val="00C17C43"/>
    <w:rsid w:val="00D2723B"/>
    <w:rsid w:val="00D312C7"/>
    <w:rsid w:val="00D436B7"/>
    <w:rsid w:val="00D56267"/>
    <w:rsid w:val="00D87DEB"/>
    <w:rsid w:val="00E60109"/>
    <w:rsid w:val="00EC5C2F"/>
    <w:rsid w:val="00EF40E1"/>
    <w:rsid w:val="00F17DE4"/>
    <w:rsid w:val="00F3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6109D"/>
  <w15:docId w15:val="{5EAB4D75-605A-4E03-A5C1-8E1EEAF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27B"/>
    <w:pPr>
      <w:spacing w:after="0" w:line="240" w:lineRule="auto"/>
    </w:pPr>
  </w:style>
  <w:style w:type="table" w:styleId="TableGrid">
    <w:name w:val="Table Grid"/>
    <w:basedOn w:val="TableNormal"/>
    <w:uiPriority w:val="39"/>
    <w:rsid w:val="0033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D14"/>
    <w:rPr>
      <w:color w:val="5CA3D8" w:themeColor="hyperlink"/>
      <w:u w:val="single"/>
    </w:rPr>
  </w:style>
  <w:style w:type="paragraph" w:styleId="BalloonText">
    <w:name w:val="Balloon Text"/>
    <w:basedOn w:val="Normal"/>
    <w:link w:val="BalloonTextChar"/>
    <w:uiPriority w:val="99"/>
    <w:semiHidden/>
    <w:unhideWhenUsed/>
    <w:rsid w:val="0084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78"/>
    <w:rPr>
      <w:rFonts w:ascii="Tahoma" w:hAnsi="Tahoma" w:cs="Tahoma"/>
      <w:sz w:val="16"/>
      <w:szCs w:val="16"/>
    </w:rPr>
  </w:style>
  <w:style w:type="character" w:styleId="Strong">
    <w:name w:val="Strong"/>
    <w:basedOn w:val="DefaultParagraphFont"/>
    <w:uiPriority w:val="22"/>
    <w:qFormat/>
    <w:rsid w:val="00722E2E"/>
    <w:rPr>
      <w:b/>
      <w:bCs/>
    </w:rPr>
  </w:style>
  <w:style w:type="paragraph" w:styleId="Header">
    <w:name w:val="header"/>
    <w:basedOn w:val="Normal"/>
    <w:link w:val="HeaderChar"/>
    <w:uiPriority w:val="99"/>
    <w:unhideWhenUsed/>
    <w:rsid w:val="00461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00"/>
  </w:style>
  <w:style w:type="paragraph" w:styleId="Footer">
    <w:name w:val="footer"/>
    <w:basedOn w:val="Normal"/>
    <w:link w:val="FooterChar"/>
    <w:uiPriority w:val="99"/>
    <w:unhideWhenUsed/>
    <w:rsid w:val="00461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651">
      <w:bodyDiv w:val="1"/>
      <w:marLeft w:val="0"/>
      <w:marRight w:val="0"/>
      <w:marTop w:val="0"/>
      <w:marBottom w:val="0"/>
      <w:divBdr>
        <w:top w:val="none" w:sz="0" w:space="0" w:color="auto"/>
        <w:left w:val="none" w:sz="0" w:space="0" w:color="auto"/>
        <w:bottom w:val="none" w:sz="0" w:space="0" w:color="auto"/>
        <w:right w:val="none" w:sz="0" w:space="0" w:color="auto"/>
      </w:divBdr>
    </w:div>
    <w:div w:id="196746061">
      <w:bodyDiv w:val="1"/>
      <w:marLeft w:val="0"/>
      <w:marRight w:val="0"/>
      <w:marTop w:val="0"/>
      <w:marBottom w:val="0"/>
      <w:divBdr>
        <w:top w:val="none" w:sz="0" w:space="0" w:color="auto"/>
        <w:left w:val="none" w:sz="0" w:space="0" w:color="auto"/>
        <w:bottom w:val="none" w:sz="0" w:space="0" w:color="auto"/>
        <w:right w:val="none" w:sz="0" w:space="0" w:color="auto"/>
      </w:divBdr>
    </w:div>
    <w:div w:id="391002520">
      <w:bodyDiv w:val="1"/>
      <w:marLeft w:val="0"/>
      <w:marRight w:val="0"/>
      <w:marTop w:val="0"/>
      <w:marBottom w:val="0"/>
      <w:divBdr>
        <w:top w:val="none" w:sz="0" w:space="0" w:color="auto"/>
        <w:left w:val="none" w:sz="0" w:space="0" w:color="auto"/>
        <w:bottom w:val="none" w:sz="0" w:space="0" w:color="auto"/>
        <w:right w:val="none" w:sz="0" w:space="0" w:color="auto"/>
      </w:divBdr>
    </w:div>
    <w:div w:id="533348677">
      <w:bodyDiv w:val="1"/>
      <w:marLeft w:val="0"/>
      <w:marRight w:val="0"/>
      <w:marTop w:val="0"/>
      <w:marBottom w:val="0"/>
      <w:divBdr>
        <w:top w:val="none" w:sz="0" w:space="0" w:color="auto"/>
        <w:left w:val="none" w:sz="0" w:space="0" w:color="auto"/>
        <w:bottom w:val="none" w:sz="0" w:space="0" w:color="auto"/>
        <w:right w:val="none" w:sz="0" w:space="0" w:color="auto"/>
      </w:divBdr>
    </w:div>
    <w:div w:id="641037950">
      <w:bodyDiv w:val="1"/>
      <w:marLeft w:val="0"/>
      <w:marRight w:val="0"/>
      <w:marTop w:val="0"/>
      <w:marBottom w:val="0"/>
      <w:divBdr>
        <w:top w:val="none" w:sz="0" w:space="0" w:color="auto"/>
        <w:left w:val="none" w:sz="0" w:space="0" w:color="auto"/>
        <w:bottom w:val="none" w:sz="0" w:space="0" w:color="auto"/>
        <w:right w:val="none" w:sz="0" w:space="0" w:color="auto"/>
      </w:divBdr>
    </w:div>
    <w:div w:id="762801643">
      <w:bodyDiv w:val="1"/>
      <w:marLeft w:val="0"/>
      <w:marRight w:val="0"/>
      <w:marTop w:val="0"/>
      <w:marBottom w:val="0"/>
      <w:divBdr>
        <w:top w:val="none" w:sz="0" w:space="0" w:color="auto"/>
        <w:left w:val="none" w:sz="0" w:space="0" w:color="auto"/>
        <w:bottom w:val="none" w:sz="0" w:space="0" w:color="auto"/>
        <w:right w:val="none" w:sz="0" w:space="0" w:color="auto"/>
      </w:divBdr>
    </w:div>
    <w:div w:id="821695777">
      <w:bodyDiv w:val="1"/>
      <w:marLeft w:val="0"/>
      <w:marRight w:val="0"/>
      <w:marTop w:val="0"/>
      <w:marBottom w:val="0"/>
      <w:divBdr>
        <w:top w:val="none" w:sz="0" w:space="0" w:color="auto"/>
        <w:left w:val="none" w:sz="0" w:space="0" w:color="auto"/>
        <w:bottom w:val="none" w:sz="0" w:space="0" w:color="auto"/>
        <w:right w:val="none" w:sz="0" w:space="0" w:color="auto"/>
      </w:divBdr>
    </w:div>
    <w:div w:id="843477792">
      <w:bodyDiv w:val="1"/>
      <w:marLeft w:val="0"/>
      <w:marRight w:val="0"/>
      <w:marTop w:val="0"/>
      <w:marBottom w:val="0"/>
      <w:divBdr>
        <w:top w:val="none" w:sz="0" w:space="0" w:color="auto"/>
        <w:left w:val="none" w:sz="0" w:space="0" w:color="auto"/>
        <w:bottom w:val="none" w:sz="0" w:space="0" w:color="auto"/>
        <w:right w:val="none" w:sz="0" w:space="0" w:color="auto"/>
      </w:divBdr>
    </w:div>
    <w:div w:id="964392147">
      <w:bodyDiv w:val="1"/>
      <w:marLeft w:val="0"/>
      <w:marRight w:val="0"/>
      <w:marTop w:val="0"/>
      <w:marBottom w:val="0"/>
      <w:divBdr>
        <w:top w:val="none" w:sz="0" w:space="0" w:color="auto"/>
        <w:left w:val="none" w:sz="0" w:space="0" w:color="auto"/>
        <w:bottom w:val="none" w:sz="0" w:space="0" w:color="auto"/>
        <w:right w:val="none" w:sz="0" w:space="0" w:color="auto"/>
      </w:divBdr>
      <w:divsChild>
        <w:div w:id="892734803">
          <w:marLeft w:val="547"/>
          <w:marRight w:val="0"/>
          <w:marTop w:val="144"/>
          <w:marBottom w:val="0"/>
          <w:divBdr>
            <w:top w:val="none" w:sz="0" w:space="0" w:color="auto"/>
            <w:left w:val="none" w:sz="0" w:space="0" w:color="auto"/>
            <w:bottom w:val="none" w:sz="0" w:space="0" w:color="auto"/>
            <w:right w:val="none" w:sz="0" w:space="0" w:color="auto"/>
          </w:divBdr>
        </w:div>
        <w:div w:id="224881652">
          <w:marLeft w:val="547"/>
          <w:marRight w:val="0"/>
          <w:marTop w:val="144"/>
          <w:marBottom w:val="0"/>
          <w:divBdr>
            <w:top w:val="none" w:sz="0" w:space="0" w:color="auto"/>
            <w:left w:val="none" w:sz="0" w:space="0" w:color="auto"/>
            <w:bottom w:val="none" w:sz="0" w:space="0" w:color="auto"/>
            <w:right w:val="none" w:sz="0" w:space="0" w:color="auto"/>
          </w:divBdr>
        </w:div>
        <w:div w:id="1916012192">
          <w:marLeft w:val="547"/>
          <w:marRight w:val="0"/>
          <w:marTop w:val="144"/>
          <w:marBottom w:val="0"/>
          <w:divBdr>
            <w:top w:val="none" w:sz="0" w:space="0" w:color="auto"/>
            <w:left w:val="none" w:sz="0" w:space="0" w:color="auto"/>
            <w:bottom w:val="none" w:sz="0" w:space="0" w:color="auto"/>
            <w:right w:val="none" w:sz="0" w:space="0" w:color="auto"/>
          </w:divBdr>
        </w:div>
        <w:div w:id="966087017">
          <w:marLeft w:val="547"/>
          <w:marRight w:val="0"/>
          <w:marTop w:val="144"/>
          <w:marBottom w:val="0"/>
          <w:divBdr>
            <w:top w:val="none" w:sz="0" w:space="0" w:color="auto"/>
            <w:left w:val="none" w:sz="0" w:space="0" w:color="auto"/>
            <w:bottom w:val="none" w:sz="0" w:space="0" w:color="auto"/>
            <w:right w:val="none" w:sz="0" w:space="0" w:color="auto"/>
          </w:divBdr>
        </w:div>
        <w:div w:id="459541753">
          <w:marLeft w:val="547"/>
          <w:marRight w:val="0"/>
          <w:marTop w:val="144"/>
          <w:marBottom w:val="0"/>
          <w:divBdr>
            <w:top w:val="none" w:sz="0" w:space="0" w:color="auto"/>
            <w:left w:val="none" w:sz="0" w:space="0" w:color="auto"/>
            <w:bottom w:val="none" w:sz="0" w:space="0" w:color="auto"/>
            <w:right w:val="none" w:sz="0" w:space="0" w:color="auto"/>
          </w:divBdr>
        </w:div>
      </w:divsChild>
    </w:div>
    <w:div w:id="1023164102">
      <w:bodyDiv w:val="1"/>
      <w:marLeft w:val="0"/>
      <w:marRight w:val="0"/>
      <w:marTop w:val="0"/>
      <w:marBottom w:val="0"/>
      <w:divBdr>
        <w:top w:val="none" w:sz="0" w:space="0" w:color="auto"/>
        <w:left w:val="none" w:sz="0" w:space="0" w:color="auto"/>
        <w:bottom w:val="none" w:sz="0" w:space="0" w:color="auto"/>
        <w:right w:val="none" w:sz="0" w:space="0" w:color="auto"/>
      </w:divBdr>
    </w:div>
    <w:div w:id="1136528451">
      <w:bodyDiv w:val="1"/>
      <w:marLeft w:val="0"/>
      <w:marRight w:val="0"/>
      <w:marTop w:val="0"/>
      <w:marBottom w:val="0"/>
      <w:divBdr>
        <w:top w:val="none" w:sz="0" w:space="0" w:color="auto"/>
        <w:left w:val="none" w:sz="0" w:space="0" w:color="auto"/>
        <w:bottom w:val="none" w:sz="0" w:space="0" w:color="auto"/>
        <w:right w:val="none" w:sz="0" w:space="0" w:color="auto"/>
      </w:divBdr>
    </w:div>
    <w:div w:id="1193956256">
      <w:bodyDiv w:val="1"/>
      <w:marLeft w:val="0"/>
      <w:marRight w:val="0"/>
      <w:marTop w:val="0"/>
      <w:marBottom w:val="0"/>
      <w:divBdr>
        <w:top w:val="none" w:sz="0" w:space="0" w:color="auto"/>
        <w:left w:val="none" w:sz="0" w:space="0" w:color="auto"/>
        <w:bottom w:val="none" w:sz="0" w:space="0" w:color="auto"/>
        <w:right w:val="none" w:sz="0" w:space="0" w:color="auto"/>
      </w:divBdr>
      <w:divsChild>
        <w:div w:id="571617876">
          <w:marLeft w:val="547"/>
          <w:marRight w:val="0"/>
          <w:marTop w:val="154"/>
          <w:marBottom w:val="0"/>
          <w:divBdr>
            <w:top w:val="none" w:sz="0" w:space="0" w:color="auto"/>
            <w:left w:val="none" w:sz="0" w:space="0" w:color="auto"/>
            <w:bottom w:val="none" w:sz="0" w:space="0" w:color="auto"/>
            <w:right w:val="none" w:sz="0" w:space="0" w:color="auto"/>
          </w:divBdr>
        </w:div>
      </w:divsChild>
    </w:div>
    <w:div w:id="1708795231">
      <w:bodyDiv w:val="1"/>
      <w:marLeft w:val="0"/>
      <w:marRight w:val="0"/>
      <w:marTop w:val="0"/>
      <w:marBottom w:val="0"/>
      <w:divBdr>
        <w:top w:val="none" w:sz="0" w:space="0" w:color="auto"/>
        <w:left w:val="none" w:sz="0" w:space="0" w:color="auto"/>
        <w:bottom w:val="none" w:sz="0" w:space="0" w:color="auto"/>
        <w:right w:val="none" w:sz="0" w:space="0" w:color="auto"/>
      </w:divBdr>
    </w:div>
    <w:div w:id="1827356860">
      <w:bodyDiv w:val="1"/>
      <w:marLeft w:val="0"/>
      <w:marRight w:val="0"/>
      <w:marTop w:val="0"/>
      <w:marBottom w:val="0"/>
      <w:divBdr>
        <w:top w:val="none" w:sz="0" w:space="0" w:color="auto"/>
        <w:left w:val="none" w:sz="0" w:space="0" w:color="auto"/>
        <w:bottom w:val="none" w:sz="0" w:space="0" w:color="auto"/>
        <w:right w:val="none" w:sz="0" w:space="0" w:color="auto"/>
      </w:divBdr>
    </w:div>
    <w:div w:id="1836411403">
      <w:bodyDiv w:val="1"/>
      <w:marLeft w:val="0"/>
      <w:marRight w:val="0"/>
      <w:marTop w:val="0"/>
      <w:marBottom w:val="0"/>
      <w:divBdr>
        <w:top w:val="none" w:sz="0" w:space="0" w:color="auto"/>
        <w:left w:val="none" w:sz="0" w:space="0" w:color="auto"/>
        <w:bottom w:val="none" w:sz="0" w:space="0" w:color="auto"/>
        <w:right w:val="none" w:sz="0" w:space="0" w:color="auto"/>
      </w:divBdr>
    </w:div>
    <w:div w:id="19671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edu-sail.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bllearning.org" TargetMode="External"/><Relationship Id="rId17" Type="http://schemas.openxmlformats.org/officeDocument/2006/relationships/hyperlink" Target="http://www.moedu-sail.org" TargetMode="External"/><Relationship Id="rId2" Type="http://schemas.openxmlformats.org/officeDocument/2006/relationships/numbering" Target="numbering.xml"/><Relationship Id="rId16" Type="http://schemas.openxmlformats.org/officeDocument/2006/relationships/hyperlink" Target="http://www.visibllearn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du-sail.org" TargetMode="External"/><Relationship Id="rId5" Type="http://schemas.openxmlformats.org/officeDocument/2006/relationships/webSettings" Target="webSettings.xml"/><Relationship Id="rId15" Type="http://schemas.openxmlformats.org/officeDocument/2006/relationships/hyperlink" Target="http://www.moedu-sail.org" TargetMode="External"/><Relationship Id="rId10" Type="http://schemas.openxmlformats.org/officeDocument/2006/relationships/hyperlink" Target="http://www.moedu-sa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sibllearning.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0D4170"/>
      </a:lt2>
      <a:accent1>
        <a:srgbClr val="5CA3D8"/>
      </a:accent1>
      <a:accent2>
        <a:srgbClr val="0D4170"/>
      </a:accent2>
      <a:accent3>
        <a:srgbClr val="95261F"/>
      </a:accent3>
      <a:accent4>
        <a:srgbClr val="1C75BB"/>
      </a:accent4>
      <a:accent5>
        <a:srgbClr val="E6B925"/>
      </a:accent5>
      <a:accent6>
        <a:srgbClr val="439539"/>
      </a:accent6>
      <a:hlink>
        <a:srgbClr val="5CA3D8"/>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45AB-4487-4EBE-B6D3-05BE8BE8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Steele</dc:creator>
  <cp:lastModifiedBy>Lindsay, Stefanie</cp:lastModifiedBy>
  <cp:revision>3</cp:revision>
  <cp:lastPrinted>2016-07-27T21:03:00Z</cp:lastPrinted>
  <dcterms:created xsi:type="dcterms:W3CDTF">2016-08-02T15:46:00Z</dcterms:created>
  <dcterms:modified xsi:type="dcterms:W3CDTF">2016-08-02T15:50:00Z</dcterms:modified>
</cp:coreProperties>
</file>