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BE" w:rsidRPr="00B60566" w:rsidRDefault="00EF0D41" w:rsidP="00780CBE">
      <w:pPr>
        <w:pStyle w:val="Heading1"/>
        <w:spacing w:before="0"/>
        <w:rPr>
          <w:color w:val="000000" w:themeColor="text1"/>
          <w:sz w:val="24"/>
          <w:szCs w:val="24"/>
        </w:rPr>
      </w:pPr>
      <w:bookmarkStart w:id="0" w:name="_GoBack"/>
      <w:bookmarkEnd w:id="0"/>
      <w:r w:rsidRPr="00B60566">
        <w:rPr>
          <w:color w:val="000000" w:themeColor="text1"/>
          <w:sz w:val="24"/>
          <w:szCs w:val="24"/>
        </w:rPr>
        <w:t>S</w:t>
      </w:r>
      <w:r w:rsidR="00B60566" w:rsidRPr="00B60566">
        <w:rPr>
          <w:color w:val="000000" w:themeColor="text1"/>
          <w:sz w:val="24"/>
          <w:szCs w:val="24"/>
        </w:rPr>
        <w:t xml:space="preserve">tudent </w:t>
      </w:r>
      <w:r w:rsidRPr="00B60566">
        <w:rPr>
          <w:color w:val="000000" w:themeColor="text1"/>
          <w:sz w:val="24"/>
          <w:szCs w:val="24"/>
        </w:rPr>
        <w:t>Practice</w:t>
      </w:r>
      <w:r w:rsidR="001408FE">
        <w:rPr>
          <w:color w:val="000000" w:themeColor="text1"/>
          <w:sz w:val="24"/>
          <w:szCs w:val="24"/>
        </w:rPr>
        <w:t>: Practice Profile</w:t>
      </w:r>
    </w:p>
    <w:p w:rsidR="00780CBE" w:rsidRPr="00B60566" w:rsidRDefault="00780CBE" w:rsidP="00780CBE">
      <w:pPr>
        <w:rPr>
          <w:bCs/>
          <w:sz w:val="24"/>
          <w:szCs w:val="24"/>
        </w:rPr>
      </w:pPr>
      <w:r w:rsidRPr="00B60566">
        <w:rPr>
          <w:bCs/>
          <w:iCs/>
          <w:sz w:val="24"/>
          <w:szCs w:val="24"/>
        </w:rPr>
        <w:t>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p>
    <w:p w:rsidR="00780CBE" w:rsidRPr="00B60566" w:rsidRDefault="00780CBE" w:rsidP="00780CBE">
      <w:pPr>
        <w:rPr>
          <w:bCs/>
          <w:iCs/>
          <w:sz w:val="24"/>
          <w:szCs w:val="24"/>
        </w:rPr>
      </w:pPr>
      <w:r w:rsidRPr="00B60566">
        <w:rPr>
          <w:bCs/>
          <w:iCs/>
          <w:sz w:val="24"/>
          <w:szCs w:val="24"/>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780CBE" w:rsidRPr="00B60566" w:rsidRDefault="00780CBE" w:rsidP="00780CBE">
      <w:pPr>
        <w:spacing w:after="0"/>
        <w:rPr>
          <w:rStyle w:val="Emphasis"/>
          <w:bCs w:val="0"/>
          <w:i w:val="0"/>
          <w:iCs w:val="0"/>
          <w:color w:val="000000" w:themeColor="text1"/>
          <w:sz w:val="24"/>
          <w:szCs w:val="24"/>
        </w:rPr>
      </w:pPr>
      <w:r w:rsidRPr="00B60566">
        <w:rPr>
          <w:rStyle w:val="Emphasis"/>
          <w:color w:val="000000" w:themeColor="text1"/>
          <w:sz w:val="24"/>
          <w:szCs w:val="24"/>
        </w:rPr>
        <w:t>How to Use the Practice Profile</w:t>
      </w:r>
    </w:p>
    <w:p w:rsidR="00921341" w:rsidRDefault="00780CBE" w:rsidP="00B60566">
      <w:pPr>
        <w:rPr>
          <w:bCs/>
          <w:iCs/>
          <w:sz w:val="24"/>
          <w:szCs w:val="24"/>
        </w:rPr>
      </w:pPr>
      <w:r w:rsidRPr="00B60566">
        <w:rPr>
          <w:bCs/>
          <w:iCs/>
          <w:sz w:val="24"/>
          <w:szCs w:val="24"/>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921341" w:rsidRDefault="00921341" w:rsidP="00B60566">
      <w:pPr>
        <w:rPr>
          <w:bCs/>
          <w:iCs/>
          <w:sz w:val="24"/>
          <w:szCs w:val="24"/>
        </w:rPr>
      </w:pPr>
    </w:p>
    <w:p w:rsidR="00921341" w:rsidRDefault="00921341" w:rsidP="00B60566">
      <w:pPr>
        <w:rPr>
          <w:bCs/>
          <w:iCs/>
          <w:sz w:val="24"/>
          <w:szCs w:val="24"/>
        </w:rPr>
      </w:pPr>
    </w:p>
    <w:p w:rsidR="00921341" w:rsidRDefault="00921341" w:rsidP="00B60566">
      <w:pPr>
        <w:rPr>
          <w:bCs/>
          <w:iCs/>
          <w:sz w:val="24"/>
          <w:szCs w:val="24"/>
        </w:rPr>
      </w:pPr>
    </w:p>
    <w:p w:rsidR="00921341" w:rsidRDefault="00921341" w:rsidP="00B60566">
      <w:pPr>
        <w:rPr>
          <w:bCs/>
          <w:iCs/>
          <w:sz w:val="24"/>
          <w:szCs w:val="24"/>
        </w:rPr>
      </w:pPr>
    </w:p>
    <w:p w:rsidR="00921341" w:rsidRDefault="00921341" w:rsidP="00B60566">
      <w:pPr>
        <w:rPr>
          <w:bCs/>
          <w:iCs/>
          <w:sz w:val="24"/>
          <w:szCs w:val="24"/>
        </w:rPr>
      </w:pPr>
    </w:p>
    <w:p w:rsidR="00B77570" w:rsidRDefault="00B77570" w:rsidP="00B77570">
      <w:pPr>
        <w:spacing w:line="240" w:lineRule="auto"/>
        <w:rPr>
          <w:bCs/>
          <w:iCs/>
          <w:sz w:val="24"/>
          <w:szCs w:val="24"/>
        </w:rPr>
      </w:pPr>
    </w:p>
    <w:p w:rsidR="00921341" w:rsidRPr="00921341" w:rsidRDefault="00921341" w:rsidP="00B60566">
      <w:pPr>
        <w:rPr>
          <w:bCs/>
          <w:iCs/>
          <w:sz w:val="24"/>
          <w:szCs w:val="24"/>
        </w:rPr>
      </w:pPr>
    </w:p>
    <w:tbl>
      <w:tblPr>
        <w:tblStyle w:val="TableGrid"/>
        <w:tblW w:w="14688" w:type="dxa"/>
        <w:tblLook w:val="04A0" w:firstRow="1" w:lastRow="0" w:firstColumn="1" w:lastColumn="0" w:noHBand="0" w:noVBand="1"/>
      </w:tblPr>
      <w:tblGrid>
        <w:gridCol w:w="1681"/>
        <w:gridCol w:w="3377"/>
        <w:gridCol w:w="3060"/>
        <w:gridCol w:w="2970"/>
        <w:gridCol w:w="3600"/>
      </w:tblGrid>
      <w:tr w:rsidR="00780CBE" w:rsidRPr="00B60566" w:rsidTr="009F156A">
        <w:trPr>
          <w:tblHeader/>
        </w:trPr>
        <w:tc>
          <w:tcPr>
            <w:tcW w:w="14688" w:type="dxa"/>
            <w:gridSpan w:val="5"/>
          </w:tcPr>
          <w:p w:rsidR="00780CBE" w:rsidRPr="00B60566" w:rsidRDefault="00780CBE" w:rsidP="00A70867">
            <w:pPr>
              <w:jc w:val="center"/>
              <w:rPr>
                <w:b/>
                <w:sz w:val="24"/>
                <w:szCs w:val="24"/>
              </w:rPr>
            </w:pPr>
            <w:r w:rsidRPr="00B60566">
              <w:rPr>
                <w:b/>
                <w:sz w:val="24"/>
                <w:szCs w:val="24"/>
              </w:rPr>
              <w:lastRenderedPageBreak/>
              <w:t>Missouri Collaborative Work Practice Profile</w:t>
            </w:r>
          </w:p>
          <w:p w:rsidR="00780CBE" w:rsidRPr="00B60566" w:rsidRDefault="00780CBE" w:rsidP="00170276">
            <w:pPr>
              <w:rPr>
                <w:b/>
                <w:sz w:val="24"/>
                <w:szCs w:val="24"/>
              </w:rPr>
            </w:pPr>
            <w:r w:rsidRPr="00B60566">
              <w:rPr>
                <w:b/>
                <w:sz w:val="24"/>
                <w:szCs w:val="24"/>
              </w:rPr>
              <w:t xml:space="preserve">Foundations present in the implementation of each essential component: </w:t>
            </w:r>
            <w:r w:rsidRPr="00B60566">
              <w:rPr>
                <w:i/>
                <w:sz w:val="24"/>
                <w:szCs w:val="24"/>
              </w:rPr>
              <w:t>Commitment to the success of all students and to improving the quality of instruction.</w:t>
            </w:r>
          </w:p>
        </w:tc>
      </w:tr>
      <w:tr w:rsidR="00780CBE" w:rsidRPr="00B60566" w:rsidTr="009F156A">
        <w:trPr>
          <w:tblHeader/>
        </w:trPr>
        <w:tc>
          <w:tcPr>
            <w:tcW w:w="14688" w:type="dxa"/>
            <w:gridSpan w:val="5"/>
            <w:shd w:val="clear" w:color="auto" w:fill="DFD4BB"/>
          </w:tcPr>
          <w:p w:rsidR="00780CBE" w:rsidRPr="00B60566" w:rsidRDefault="00EF0D41" w:rsidP="00A70867">
            <w:pPr>
              <w:jc w:val="center"/>
              <w:rPr>
                <w:b/>
                <w:sz w:val="24"/>
                <w:szCs w:val="24"/>
              </w:rPr>
            </w:pPr>
            <w:r w:rsidRPr="00B60566">
              <w:rPr>
                <w:b/>
                <w:sz w:val="24"/>
                <w:szCs w:val="24"/>
              </w:rPr>
              <w:t>Spaced</w:t>
            </w:r>
            <w:r w:rsidR="003964FC" w:rsidRPr="00B60566">
              <w:rPr>
                <w:b/>
                <w:sz w:val="24"/>
                <w:szCs w:val="24"/>
              </w:rPr>
              <w:t xml:space="preserve"> Practice: In the Context of Learning</w:t>
            </w:r>
          </w:p>
        </w:tc>
      </w:tr>
      <w:tr w:rsidR="00DB1BFF" w:rsidRPr="00B60566" w:rsidTr="00DB1BFF">
        <w:trPr>
          <w:tblHeader/>
        </w:trPr>
        <w:tc>
          <w:tcPr>
            <w:tcW w:w="1681" w:type="dxa"/>
            <w:vAlign w:val="center"/>
          </w:tcPr>
          <w:p w:rsidR="00780CBE" w:rsidRPr="00B60566" w:rsidRDefault="00780CBE" w:rsidP="00A70867">
            <w:pPr>
              <w:jc w:val="center"/>
              <w:rPr>
                <w:b/>
                <w:sz w:val="24"/>
                <w:szCs w:val="24"/>
              </w:rPr>
            </w:pPr>
            <w:r w:rsidRPr="00B60566">
              <w:rPr>
                <w:b/>
                <w:sz w:val="24"/>
                <w:szCs w:val="24"/>
              </w:rPr>
              <w:t>Essential Function</w:t>
            </w:r>
          </w:p>
        </w:tc>
        <w:tc>
          <w:tcPr>
            <w:tcW w:w="3377" w:type="dxa"/>
            <w:shd w:val="clear" w:color="auto" w:fill="auto"/>
            <w:vAlign w:val="center"/>
          </w:tcPr>
          <w:p w:rsidR="00780CBE" w:rsidRPr="00B60566" w:rsidRDefault="00780CBE" w:rsidP="00A70867">
            <w:pPr>
              <w:jc w:val="center"/>
              <w:rPr>
                <w:b/>
                <w:sz w:val="24"/>
                <w:szCs w:val="24"/>
              </w:rPr>
            </w:pPr>
            <w:r w:rsidRPr="00B60566">
              <w:rPr>
                <w:b/>
                <w:sz w:val="24"/>
                <w:szCs w:val="24"/>
              </w:rPr>
              <w:t>Exemplary proficiency</w:t>
            </w:r>
          </w:p>
          <w:p w:rsidR="00780CBE" w:rsidRPr="00B60566" w:rsidRDefault="00780CBE" w:rsidP="00A70867">
            <w:pPr>
              <w:jc w:val="center"/>
              <w:rPr>
                <w:b/>
                <w:sz w:val="24"/>
                <w:szCs w:val="24"/>
              </w:rPr>
            </w:pPr>
            <w:r w:rsidRPr="00B60566">
              <w:rPr>
                <w:b/>
                <w:sz w:val="24"/>
                <w:szCs w:val="24"/>
              </w:rPr>
              <w:t>Ideal Implementation</w:t>
            </w:r>
          </w:p>
          <w:p w:rsidR="00780CBE" w:rsidRPr="00B60566" w:rsidRDefault="00780CBE" w:rsidP="00A70867">
            <w:pPr>
              <w:jc w:val="center"/>
              <w:rPr>
                <w:b/>
                <w:sz w:val="24"/>
                <w:szCs w:val="24"/>
              </w:rPr>
            </w:pPr>
          </w:p>
        </w:tc>
        <w:tc>
          <w:tcPr>
            <w:tcW w:w="3060" w:type="dxa"/>
            <w:shd w:val="clear" w:color="auto" w:fill="auto"/>
            <w:vAlign w:val="center"/>
          </w:tcPr>
          <w:p w:rsidR="00780CBE" w:rsidRPr="00B60566" w:rsidRDefault="00780CBE" w:rsidP="00A70867">
            <w:pPr>
              <w:jc w:val="center"/>
              <w:rPr>
                <w:b/>
                <w:sz w:val="24"/>
                <w:szCs w:val="24"/>
              </w:rPr>
            </w:pPr>
            <w:r w:rsidRPr="00B60566">
              <w:rPr>
                <w:b/>
                <w:sz w:val="24"/>
                <w:szCs w:val="24"/>
              </w:rPr>
              <w:t>Proficient</w:t>
            </w:r>
          </w:p>
        </w:tc>
        <w:tc>
          <w:tcPr>
            <w:tcW w:w="2970" w:type="dxa"/>
            <w:shd w:val="clear" w:color="auto" w:fill="auto"/>
            <w:vAlign w:val="center"/>
          </w:tcPr>
          <w:p w:rsidR="00780CBE" w:rsidRPr="00B60566" w:rsidRDefault="00780CBE" w:rsidP="00A70867">
            <w:pPr>
              <w:jc w:val="center"/>
              <w:rPr>
                <w:b/>
                <w:sz w:val="24"/>
                <w:szCs w:val="24"/>
              </w:rPr>
            </w:pPr>
            <w:r w:rsidRPr="00B60566">
              <w:rPr>
                <w:b/>
                <w:sz w:val="24"/>
                <w:szCs w:val="24"/>
              </w:rPr>
              <w:t xml:space="preserve">Close to Proficient  </w:t>
            </w:r>
          </w:p>
          <w:p w:rsidR="00780CBE" w:rsidRPr="00B60566" w:rsidRDefault="00780CBE" w:rsidP="00A70867">
            <w:pPr>
              <w:jc w:val="center"/>
              <w:rPr>
                <w:i/>
                <w:sz w:val="24"/>
                <w:szCs w:val="24"/>
              </w:rPr>
            </w:pPr>
            <w:r w:rsidRPr="00B60566">
              <w:rPr>
                <w:i/>
                <w:sz w:val="24"/>
                <w:szCs w:val="24"/>
              </w:rPr>
              <w:t>(Skill is emerging, but not yet to ideal proficiency.  Coaching is recommended.)</w:t>
            </w:r>
          </w:p>
        </w:tc>
        <w:tc>
          <w:tcPr>
            <w:tcW w:w="3600" w:type="dxa"/>
            <w:shd w:val="clear" w:color="auto" w:fill="auto"/>
            <w:vAlign w:val="center"/>
          </w:tcPr>
          <w:p w:rsidR="00780CBE" w:rsidRPr="00B60566" w:rsidRDefault="00780CBE" w:rsidP="00A70867">
            <w:pPr>
              <w:jc w:val="center"/>
              <w:rPr>
                <w:b/>
                <w:sz w:val="24"/>
                <w:szCs w:val="24"/>
              </w:rPr>
            </w:pPr>
            <w:r w:rsidRPr="00B60566">
              <w:rPr>
                <w:b/>
                <w:sz w:val="24"/>
                <w:szCs w:val="24"/>
              </w:rPr>
              <w:t>Far from Proficient</w:t>
            </w:r>
            <w:r w:rsidRPr="00B60566">
              <w:rPr>
                <w:i/>
                <w:sz w:val="24"/>
                <w:szCs w:val="24"/>
              </w:rPr>
              <w:t xml:space="preserve"> (Follow-up professional development and coaching is critical.)</w:t>
            </w:r>
          </w:p>
        </w:tc>
      </w:tr>
      <w:tr w:rsidR="00DB1BFF" w:rsidRPr="00B60566" w:rsidTr="00DB1BFF">
        <w:trPr>
          <w:trHeight w:val="1052"/>
        </w:trPr>
        <w:tc>
          <w:tcPr>
            <w:tcW w:w="1681" w:type="dxa"/>
            <w:vAlign w:val="center"/>
          </w:tcPr>
          <w:p w:rsidR="00B60566" w:rsidRPr="00921341" w:rsidRDefault="009F156A" w:rsidP="009F156A">
            <w:pPr>
              <w:rPr>
                <w:rFonts w:cs="Arial"/>
              </w:rPr>
            </w:pPr>
            <w:r w:rsidRPr="00921341">
              <w:rPr>
                <w:rFonts w:cs="Arial"/>
              </w:rPr>
              <w:t xml:space="preserve">Contain or address </w:t>
            </w:r>
            <w:r w:rsidR="00B60566" w:rsidRPr="00921341">
              <w:rPr>
                <w:rFonts w:cs="Arial"/>
              </w:rPr>
              <w:t xml:space="preserve">essential </w:t>
            </w:r>
            <w:r w:rsidRPr="00921341">
              <w:rPr>
                <w:rFonts w:cs="Arial"/>
              </w:rPr>
              <w:t xml:space="preserve">elements. </w:t>
            </w:r>
            <w:r w:rsidR="00B60566" w:rsidRPr="00921341">
              <w:rPr>
                <w:rFonts w:cs="Arial"/>
              </w:rPr>
              <w:t xml:space="preserve"> </w:t>
            </w:r>
          </w:p>
        </w:tc>
        <w:tc>
          <w:tcPr>
            <w:tcW w:w="3377" w:type="dxa"/>
          </w:tcPr>
          <w:p w:rsidR="00B60566" w:rsidRPr="00921341" w:rsidRDefault="00B60566" w:rsidP="00B60566">
            <w:r w:rsidRPr="00921341">
              <w:t>The practice sessions I design for students</w:t>
            </w:r>
            <w:r w:rsidR="002F4A1A" w:rsidRPr="00921341">
              <w:t xml:space="preserve"> contain/address at</w:t>
            </w:r>
            <w:r w:rsidR="009F156A" w:rsidRPr="00921341">
              <w:t xml:space="preserve"> </w:t>
            </w:r>
            <w:r w:rsidR="00EA284B">
              <w:t xml:space="preserve">least </w:t>
            </w:r>
            <w:r w:rsidR="009F156A" w:rsidRPr="00921341">
              <w:t xml:space="preserve">six essential elements listed below. </w:t>
            </w:r>
          </w:p>
          <w:p w:rsidR="00DB1BFF" w:rsidRPr="00921341" w:rsidRDefault="00DB1BFF" w:rsidP="00B60566"/>
          <w:p w:rsidR="009F156A" w:rsidRPr="00921341" w:rsidRDefault="00DB1BFF" w:rsidP="00B60566">
            <w:r w:rsidRPr="00921341">
              <w:t>The practice sessions…</w:t>
            </w:r>
          </w:p>
          <w:p w:rsidR="009F156A" w:rsidRPr="00921341" w:rsidRDefault="00B60566" w:rsidP="009F156A">
            <w:pPr>
              <w:pStyle w:val="ListParagraph"/>
              <w:numPr>
                <w:ilvl w:val="0"/>
                <w:numId w:val="21"/>
              </w:numPr>
            </w:pPr>
            <w:r w:rsidRPr="00921341">
              <w:t xml:space="preserve">address changes that need to be made to the learning environment to help students feel safe and valued. </w:t>
            </w:r>
          </w:p>
          <w:p w:rsidR="00B60566" w:rsidRPr="00921341" w:rsidRDefault="00B60566" w:rsidP="00B60566">
            <w:pPr>
              <w:pStyle w:val="ListParagraph"/>
              <w:numPr>
                <w:ilvl w:val="0"/>
                <w:numId w:val="21"/>
              </w:numPr>
            </w:pPr>
            <w:r w:rsidRPr="00921341">
              <w:t xml:space="preserve">describe how to help students make personal connections to what is being practiced. </w:t>
            </w:r>
          </w:p>
          <w:p w:rsidR="00B60566" w:rsidRPr="00921341" w:rsidRDefault="00B60566" w:rsidP="00B60566">
            <w:pPr>
              <w:pStyle w:val="ListParagraph"/>
              <w:numPr>
                <w:ilvl w:val="0"/>
                <w:numId w:val="21"/>
              </w:numPr>
            </w:pPr>
            <w:r w:rsidRPr="00921341">
              <w:t xml:space="preserve">describe the “phases” needed to build the knowledge or </w:t>
            </w:r>
            <w:r w:rsidR="00EA284B" w:rsidRPr="00921341">
              <w:t>skill base</w:t>
            </w:r>
            <w:r w:rsidRPr="00921341">
              <w:t xml:space="preserve"> necessary for practice. </w:t>
            </w:r>
          </w:p>
          <w:p w:rsidR="00B60566" w:rsidRPr="00921341" w:rsidRDefault="002F4A1A" w:rsidP="00B60566">
            <w:pPr>
              <w:pStyle w:val="ListParagraph"/>
              <w:numPr>
                <w:ilvl w:val="0"/>
                <w:numId w:val="21"/>
              </w:numPr>
            </w:pPr>
            <w:r w:rsidRPr="00921341">
              <w:t xml:space="preserve">are “spaced” over a time span. </w:t>
            </w:r>
          </w:p>
          <w:p w:rsidR="002F4A1A" w:rsidRPr="00921341" w:rsidRDefault="002F4A1A" w:rsidP="00B60566">
            <w:pPr>
              <w:pStyle w:val="ListParagraph"/>
              <w:numPr>
                <w:ilvl w:val="0"/>
                <w:numId w:val="21"/>
              </w:numPr>
            </w:pPr>
            <w:r w:rsidRPr="00921341">
              <w:t>specify whether practice is “blocked” or “interleaving”</w:t>
            </w:r>
            <w:r w:rsidR="00EA284B">
              <w:t xml:space="preserve"> or both. </w:t>
            </w:r>
          </w:p>
          <w:p w:rsidR="00B60566" w:rsidRPr="00921341" w:rsidRDefault="00B60566" w:rsidP="00B60566">
            <w:pPr>
              <w:pStyle w:val="ListParagraph"/>
              <w:numPr>
                <w:ilvl w:val="0"/>
                <w:numId w:val="21"/>
              </w:numPr>
            </w:pPr>
            <w:r w:rsidRPr="00921341">
              <w:t xml:space="preserve">are deliberate (target </w:t>
            </w:r>
            <w:r w:rsidR="005D381E" w:rsidRPr="00921341">
              <w:t>criteria for</w:t>
            </w:r>
            <w:r w:rsidRPr="00921341">
              <w:t xml:space="preserve"> improvement). </w:t>
            </w:r>
          </w:p>
          <w:p w:rsidR="00B60566" w:rsidRPr="00921341" w:rsidRDefault="00B60566" w:rsidP="00B60566">
            <w:pPr>
              <w:pStyle w:val="ListParagraph"/>
              <w:numPr>
                <w:ilvl w:val="0"/>
                <w:numId w:val="21"/>
              </w:numPr>
            </w:pPr>
            <w:r w:rsidRPr="00921341">
              <w:t xml:space="preserve">are dynamic (challenging, novel, and/or in varied contexts).  </w:t>
            </w:r>
          </w:p>
          <w:p w:rsidR="00B60566" w:rsidRPr="00921341" w:rsidRDefault="00B60566" w:rsidP="003964FC">
            <w:pPr>
              <w:pStyle w:val="ListParagraph"/>
              <w:autoSpaceDE w:val="0"/>
              <w:autoSpaceDN w:val="0"/>
              <w:adjustRightInd w:val="0"/>
              <w:ind w:left="218"/>
              <w:rPr>
                <w:rFonts w:eastAsiaTheme="minorHAnsi" w:cs="MixageITC-Medium"/>
              </w:rPr>
            </w:pPr>
          </w:p>
        </w:tc>
        <w:tc>
          <w:tcPr>
            <w:tcW w:w="3060" w:type="dxa"/>
            <w:shd w:val="clear" w:color="auto" w:fill="auto"/>
          </w:tcPr>
          <w:p w:rsidR="009F156A" w:rsidRPr="00921341" w:rsidRDefault="009F156A" w:rsidP="009F156A">
            <w:r w:rsidRPr="00921341">
              <w:t>The practice sessions I design for students contain/address five of the essential elements.</w:t>
            </w:r>
          </w:p>
          <w:p w:rsidR="00B60566" w:rsidRPr="00921341" w:rsidRDefault="00B60566" w:rsidP="007B6582"/>
        </w:tc>
        <w:tc>
          <w:tcPr>
            <w:tcW w:w="2970" w:type="dxa"/>
            <w:shd w:val="clear" w:color="auto" w:fill="auto"/>
          </w:tcPr>
          <w:p w:rsidR="009F156A" w:rsidRPr="00921341" w:rsidRDefault="009F156A" w:rsidP="009F156A">
            <w:r w:rsidRPr="00921341">
              <w:t xml:space="preserve">The practice sessions I design for students contain/address three or four essential elements. </w:t>
            </w:r>
          </w:p>
          <w:p w:rsidR="00B60566" w:rsidRPr="00921341" w:rsidRDefault="00B60566" w:rsidP="007B6582"/>
        </w:tc>
        <w:tc>
          <w:tcPr>
            <w:tcW w:w="3600" w:type="dxa"/>
            <w:shd w:val="clear" w:color="auto" w:fill="auto"/>
          </w:tcPr>
          <w:p w:rsidR="009F156A" w:rsidRPr="00921341" w:rsidRDefault="009F156A" w:rsidP="009F156A">
            <w:r w:rsidRPr="00921341">
              <w:t xml:space="preserve">The practice sessions I design for students contain/address fewer than three essential elements. </w:t>
            </w:r>
          </w:p>
          <w:p w:rsidR="00B60566" w:rsidRPr="00921341" w:rsidRDefault="00B60566" w:rsidP="007B6582"/>
        </w:tc>
      </w:tr>
    </w:tbl>
    <w:p w:rsidR="00780CBE" w:rsidRDefault="00780CBE" w:rsidP="00A95BC4">
      <w:pPr>
        <w:autoSpaceDE w:val="0"/>
        <w:autoSpaceDN w:val="0"/>
        <w:adjustRightInd w:val="0"/>
        <w:spacing w:after="0" w:line="240" w:lineRule="auto"/>
        <w:rPr>
          <w:rFonts w:eastAsiaTheme="minorHAnsi" w:cs="Veljovic-Book"/>
          <w:sz w:val="16"/>
          <w:szCs w:val="16"/>
        </w:rPr>
      </w:pPr>
    </w:p>
    <w:p w:rsidR="006E0D7D" w:rsidRPr="00651AE6" w:rsidRDefault="00F7277B" w:rsidP="00F7277B">
      <w:pPr>
        <w:autoSpaceDE w:val="0"/>
        <w:autoSpaceDN w:val="0"/>
        <w:adjustRightInd w:val="0"/>
        <w:spacing w:after="0" w:line="240" w:lineRule="auto"/>
        <w:rPr>
          <w:rFonts w:eastAsiaTheme="minorHAnsi" w:cs="Veljovic-Book"/>
          <w:sz w:val="16"/>
          <w:szCs w:val="16"/>
        </w:rPr>
      </w:pPr>
      <w:r>
        <w:rPr>
          <w:rFonts w:eastAsiaTheme="minorHAnsi" w:cs="Veljovic-BookItalic"/>
          <w:iCs/>
          <w:sz w:val="16"/>
          <w:szCs w:val="16"/>
        </w:rPr>
        <w:t xml:space="preserve">Evidence:  </w:t>
      </w:r>
      <w:r w:rsidR="00362221">
        <w:rPr>
          <w:rFonts w:eastAsiaTheme="minorHAnsi" w:cs="Veljovic-BookItalic"/>
          <w:iCs/>
          <w:sz w:val="16"/>
          <w:szCs w:val="16"/>
        </w:rPr>
        <w:t>[insert list of data sources used as evidence for determining implementation level on the Practice Profile</w:t>
      </w:r>
    </w:p>
    <w:sectPr w:rsidR="006E0D7D" w:rsidRPr="00651AE6" w:rsidSect="00B77570">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93" w:rsidRDefault="00A23893" w:rsidP="00902389">
      <w:pPr>
        <w:spacing w:after="0" w:line="240" w:lineRule="auto"/>
      </w:pPr>
      <w:r>
        <w:separator/>
      </w:r>
    </w:p>
  </w:endnote>
  <w:endnote w:type="continuationSeparator" w:id="0">
    <w:p w:rsidR="00A23893" w:rsidRDefault="00A23893"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xageITC-Medium">
    <w:panose1 w:val="00000000000000000000"/>
    <w:charset w:val="00"/>
    <w:family w:val="auto"/>
    <w:notTrueType/>
    <w:pitch w:val="default"/>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FD" w:rsidRDefault="00942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41" w:rsidRDefault="00921341" w:rsidP="00921341">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rsidR="008F3018">
      <w:t xml:space="preserve">Student </w:t>
    </w:r>
    <w:r>
      <w:t>Practice</w:t>
    </w:r>
  </w:p>
  <w:p w:rsidR="006E0D7D" w:rsidRDefault="00921341" w:rsidP="00921341">
    <w:pPr>
      <w:pStyle w:val="Footer"/>
      <w:pBdr>
        <w:top w:val="single" w:sz="12" w:space="0" w:color="0D4170" w:themeColor="accent2"/>
      </w:pBdr>
    </w:pPr>
    <w:r>
      <w:t xml:space="preserve">Updated January 2015              </w:t>
    </w:r>
    <w:r w:rsidRPr="006C30B0">
      <w:tab/>
    </w:r>
    <w:r>
      <w:t xml:space="preserve">                                           </w:t>
    </w:r>
    <w:r>
      <w:tab/>
    </w:r>
    <w:r>
      <w:tab/>
    </w:r>
    <w:r>
      <w:tab/>
      <w:t xml:space="preserve">                                           </w:t>
    </w:r>
    <w:r>
      <w:tab/>
      <w:t xml:space="preserve">                 </w:t>
    </w:r>
    <w:r w:rsidRPr="006C30B0">
      <w:t xml:space="preserve">Page </w:t>
    </w:r>
    <w:r w:rsidRPr="006C30B0">
      <w:fldChar w:fldCharType="begin"/>
    </w:r>
    <w:r w:rsidRPr="006C30B0">
      <w:instrText xml:space="preserve"> PAGE   \* MERGEFORMAT </w:instrText>
    </w:r>
    <w:r w:rsidRPr="006C30B0">
      <w:fldChar w:fldCharType="separate"/>
    </w:r>
    <w:r w:rsidR="008F3018">
      <w:rPr>
        <w:noProof/>
      </w:rPr>
      <w:t>2</w:t>
    </w:r>
    <w:r w:rsidRPr="006C30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70" w:rsidRDefault="00B77570" w:rsidP="00B77570">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rsidR="00942AFD">
      <w:t>Student</w:t>
    </w:r>
    <w:r>
      <w:t xml:space="preserve"> Practice</w:t>
    </w:r>
  </w:p>
  <w:p w:rsidR="00B77570" w:rsidRDefault="00B77570" w:rsidP="00B77570">
    <w:pPr>
      <w:pStyle w:val="Footer"/>
      <w:pBdr>
        <w:top w:val="single" w:sz="12" w:space="0" w:color="0D4170" w:themeColor="accent2"/>
      </w:pBdr>
      <w:rPr>
        <w:noProof/>
      </w:rPr>
    </w:pPr>
    <w:r>
      <w:t xml:space="preserve">Updated July 2015   </w:t>
    </w:r>
    <w:r>
      <w:tab/>
    </w:r>
    <w:r>
      <w:tab/>
    </w:r>
    <w:r>
      <w:tab/>
    </w:r>
    <w:r>
      <w:tab/>
    </w:r>
    <w:r>
      <w:tab/>
    </w:r>
    <w:r>
      <w:tab/>
    </w:r>
    <w:r>
      <w:tab/>
    </w:r>
    <w:r>
      <w:tab/>
      <w:t xml:space="preserve">  </w:t>
    </w:r>
    <w:r w:rsidRPr="006C30B0">
      <w:t xml:space="preserve">Page </w:t>
    </w:r>
    <w:r w:rsidRPr="006C30B0">
      <w:fldChar w:fldCharType="begin"/>
    </w:r>
    <w:r w:rsidRPr="006C30B0">
      <w:instrText xml:space="preserve"> PAGE   \* MERGEFORMAT </w:instrText>
    </w:r>
    <w:r w:rsidRPr="006C30B0">
      <w:fldChar w:fldCharType="separate"/>
    </w:r>
    <w:r w:rsidR="008F3018">
      <w:rPr>
        <w:noProof/>
      </w:rPr>
      <w:t>1</w:t>
    </w:r>
    <w:r w:rsidRPr="006C30B0">
      <w:rPr>
        <w:noProof/>
      </w:rPr>
      <w:fldChar w:fldCharType="end"/>
    </w:r>
  </w:p>
  <w:p w:rsidR="00B77570" w:rsidRPr="00B77570" w:rsidRDefault="00B77570" w:rsidP="00B77570">
    <w:pPr>
      <w:spacing w:line="240" w:lineRule="auto"/>
      <w:rPr>
        <w:bCs/>
        <w:iCs/>
        <w:sz w:val="24"/>
        <w:szCs w:val="24"/>
      </w:rPr>
    </w:pPr>
    <w:r>
      <w:rPr>
        <w:noProof/>
      </w:rPr>
      <w:drawing>
        <wp:anchor distT="0" distB="0" distL="114300" distR="114300" simplePos="0" relativeHeight="251658240" behindDoc="0" locked="0" layoutInCell="1" allowOverlap="1" wp14:anchorId="0ACEAF05" wp14:editId="361D16DA">
          <wp:simplePos x="0" y="0"/>
          <wp:positionH relativeFrom="margin">
            <wp:align>left</wp:align>
          </wp:positionH>
          <wp:positionV relativeFrom="paragraph">
            <wp:posOffset>11430</wp:posOffset>
          </wp:positionV>
          <wp:extent cx="838200" cy="2952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anchor>
      </w:drawing>
    </w:r>
    <w:r>
      <w:rPr>
        <w:bCs/>
        <w:iCs/>
        <w:sz w:val="24"/>
        <w:szCs w:val="24"/>
      </w:rPr>
      <w:t xml:space="preserve">This work is licensed under a </w:t>
    </w:r>
    <w:hyperlink r:id="rId2"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rPr>
        <w:bCs/>
        <w:i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93" w:rsidRDefault="00A23893" w:rsidP="00902389">
      <w:pPr>
        <w:spacing w:after="0" w:line="240" w:lineRule="auto"/>
      </w:pPr>
      <w:r>
        <w:separator/>
      </w:r>
    </w:p>
  </w:footnote>
  <w:footnote w:type="continuationSeparator" w:id="0">
    <w:p w:rsidR="00A23893" w:rsidRDefault="00A23893" w:rsidP="0090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FD" w:rsidRDefault="00942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FD" w:rsidRDefault="00942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FD" w:rsidRDefault="00942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13CA2"/>
    <w:multiLevelType w:val="hybridMultilevel"/>
    <w:tmpl w:val="CA7EF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C5269"/>
    <w:multiLevelType w:val="hybridMultilevel"/>
    <w:tmpl w:val="90B6045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C16A7"/>
    <w:multiLevelType w:val="hybridMultilevel"/>
    <w:tmpl w:val="535EC5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2445D"/>
    <w:multiLevelType w:val="hybridMultilevel"/>
    <w:tmpl w:val="AB2A16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F5C1A"/>
    <w:multiLevelType w:val="hybridMultilevel"/>
    <w:tmpl w:val="2AF425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2774F9"/>
    <w:multiLevelType w:val="hybridMultilevel"/>
    <w:tmpl w:val="D006152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7143C"/>
    <w:multiLevelType w:val="hybridMultilevel"/>
    <w:tmpl w:val="0B3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0"/>
  </w:num>
  <w:num w:numId="5">
    <w:abstractNumId w:val="15"/>
  </w:num>
  <w:num w:numId="6">
    <w:abstractNumId w:val="13"/>
  </w:num>
  <w:num w:numId="7">
    <w:abstractNumId w:val="6"/>
  </w:num>
  <w:num w:numId="8">
    <w:abstractNumId w:val="1"/>
  </w:num>
  <w:num w:numId="9">
    <w:abstractNumId w:val="18"/>
  </w:num>
  <w:num w:numId="10">
    <w:abstractNumId w:val="10"/>
  </w:num>
  <w:num w:numId="11">
    <w:abstractNumId w:val="20"/>
  </w:num>
  <w:num w:numId="12">
    <w:abstractNumId w:val="19"/>
  </w:num>
  <w:num w:numId="13">
    <w:abstractNumId w:val="17"/>
  </w:num>
  <w:num w:numId="14">
    <w:abstractNumId w:val="7"/>
  </w:num>
  <w:num w:numId="15">
    <w:abstractNumId w:val="8"/>
  </w:num>
  <w:num w:numId="16">
    <w:abstractNumId w:val="12"/>
  </w:num>
  <w:num w:numId="17">
    <w:abstractNumId w:val="5"/>
  </w:num>
  <w:num w:numId="18">
    <w:abstractNumId w:val="3"/>
  </w:num>
  <w:num w:numId="19">
    <w:abstractNumId w:val="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67"/>
    <w:rsid w:val="00002783"/>
    <w:rsid w:val="00006643"/>
    <w:rsid w:val="000135D9"/>
    <w:rsid w:val="000414E9"/>
    <w:rsid w:val="00051948"/>
    <w:rsid w:val="00062F7A"/>
    <w:rsid w:val="000A2917"/>
    <w:rsid w:val="000B0415"/>
    <w:rsid w:val="00121503"/>
    <w:rsid w:val="001408FE"/>
    <w:rsid w:val="00141A1D"/>
    <w:rsid w:val="001526D1"/>
    <w:rsid w:val="00170276"/>
    <w:rsid w:val="001872C0"/>
    <w:rsid w:val="00247F1A"/>
    <w:rsid w:val="00251219"/>
    <w:rsid w:val="0026477A"/>
    <w:rsid w:val="00280F2C"/>
    <w:rsid w:val="00296239"/>
    <w:rsid w:val="002A0C54"/>
    <w:rsid w:val="002B4D6C"/>
    <w:rsid w:val="002F4A1A"/>
    <w:rsid w:val="00350296"/>
    <w:rsid w:val="003609E1"/>
    <w:rsid w:val="00362221"/>
    <w:rsid w:val="003964FC"/>
    <w:rsid w:val="003D2FE1"/>
    <w:rsid w:val="003E4FE1"/>
    <w:rsid w:val="004A1C31"/>
    <w:rsid w:val="004E3B45"/>
    <w:rsid w:val="0051497F"/>
    <w:rsid w:val="00534D01"/>
    <w:rsid w:val="005812C3"/>
    <w:rsid w:val="005D381E"/>
    <w:rsid w:val="005E5F67"/>
    <w:rsid w:val="006269A2"/>
    <w:rsid w:val="00651AE6"/>
    <w:rsid w:val="00654A93"/>
    <w:rsid w:val="00660425"/>
    <w:rsid w:val="00660739"/>
    <w:rsid w:val="00673613"/>
    <w:rsid w:val="00673E30"/>
    <w:rsid w:val="00690029"/>
    <w:rsid w:val="006A64E5"/>
    <w:rsid w:val="006C5BBE"/>
    <w:rsid w:val="006E0D7D"/>
    <w:rsid w:val="007709ED"/>
    <w:rsid w:val="00780CBE"/>
    <w:rsid w:val="00787A8B"/>
    <w:rsid w:val="007B57C2"/>
    <w:rsid w:val="007B6582"/>
    <w:rsid w:val="008073B1"/>
    <w:rsid w:val="00820AE2"/>
    <w:rsid w:val="00834AAE"/>
    <w:rsid w:val="0087212C"/>
    <w:rsid w:val="00881BD6"/>
    <w:rsid w:val="00890EC6"/>
    <w:rsid w:val="008927A6"/>
    <w:rsid w:val="008C6151"/>
    <w:rsid w:val="008D33DE"/>
    <w:rsid w:val="008E7369"/>
    <w:rsid w:val="008F3018"/>
    <w:rsid w:val="008F4DE2"/>
    <w:rsid w:val="00902389"/>
    <w:rsid w:val="00921341"/>
    <w:rsid w:val="00942AFD"/>
    <w:rsid w:val="009729DE"/>
    <w:rsid w:val="00974935"/>
    <w:rsid w:val="009D6914"/>
    <w:rsid w:val="009E18D5"/>
    <w:rsid w:val="009F0CC7"/>
    <w:rsid w:val="009F156A"/>
    <w:rsid w:val="00A23893"/>
    <w:rsid w:val="00A6203F"/>
    <w:rsid w:val="00A72BFD"/>
    <w:rsid w:val="00A95BC4"/>
    <w:rsid w:val="00AB0465"/>
    <w:rsid w:val="00AB5AEC"/>
    <w:rsid w:val="00B027B4"/>
    <w:rsid w:val="00B0304D"/>
    <w:rsid w:val="00B60566"/>
    <w:rsid w:val="00B77570"/>
    <w:rsid w:val="00B9782D"/>
    <w:rsid w:val="00BB350E"/>
    <w:rsid w:val="00BD16AC"/>
    <w:rsid w:val="00BF27B1"/>
    <w:rsid w:val="00C7694B"/>
    <w:rsid w:val="00CC5F1C"/>
    <w:rsid w:val="00CD4909"/>
    <w:rsid w:val="00CE6554"/>
    <w:rsid w:val="00D00C63"/>
    <w:rsid w:val="00DB1BFF"/>
    <w:rsid w:val="00DE0985"/>
    <w:rsid w:val="00E07966"/>
    <w:rsid w:val="00E135AD"/>
    <w:rsid w:val="00E74501"/>
    <w:rsid w:val="00E74674"/>
    <w:rsid w:val="00E82B67"/>
    <w:rsid w:val="00EA15F2"/>
    <w:rsid w:val="00EA284B"/>
    <w:rsid w:val="00EF0D41"/>
    <w:rsid w:val="00F17992"/>
    <w:rsid w:val="00F472E9"/>
    <w:rsid w:val="00F7277B"/>
    <w:rsid w:val="00F82B46"/>
    <w:rsid w:val="00F85315"/>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43832-2CEC-49C6-8188-9C4A1FC5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PlaceholderText">
    <w:name w:val="Placeholder Text"/>
    <w:basedOn w:val="DefaultParagraphFont"/>
    <w:uiPriority w:val="99"/>
    <w:semiHidden/>
    <w:rsid w:val="00B77570"/>
    <w:rPr>
      <w:color w:val="808080"/>
    </w:rPr>
  </w:style>
  <w:style w:type="character" w:styleId="Hyperlink">
    <w:name w:val="Hyperlink"/>
    <w:basedOn w:val="DefaultParagraphFont"/>
    <w:uiPriority w:val="99"/>
    <w:unhideWhenUsed/>
    <w:rsid w:val="00B77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1FE0-0C9A-4670-B42C-F48CC9F9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Jodi Arnold</cp:lastModifiedBy>
  <cp:revision>2</cp:revision>
  <cp:lastPrinted>2014-01-20T19:15:00Z</cp:lastPrinted>
  <dcterms:created xsi:type="dcterms:W3CDTF">2019-04-15T20:08:00Z</dcterms:created>
  <dcterms:modified xsi:type="dcterms:W3CDTF">2019-04-15T20:08:00Z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