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A5" w:rsidRPr="00A52BA5" w:rsidRDefault="00A52BA5" w:rsidP="00A52BA5">
      <w:pPr>
        <w:widowControl/>
        <w:autoSpaceDE/>
        <w:autoSpaceDN/>
        <w:spacing w:after="200" w:line="276" w:lineRule="auto"/>
        <w:contextualSpacing/>
        <w:rPr>
          <w:b/>
        </w:rPr>
      </w:pPr>
      <w:r w:rsidRPr="00A52BA5">
        <w:rPr>
          <w:b/>
        </w:rPr>
        <w:t>Effective Principals build positive momentum by succeeding at key initial leadership tasks and opportunities</w:t>
      </w:r>
    </w:p>
    <w:p w:rsidR="00A52BA5" w:rsidRDefault="00A52BA5" w:rsidP="00D43E2D">
      <w:pPr>
        <w:spacing w:before="114"/>
        <w:ind w:left="160"/>
        <w:rPr>
          <w:rFonts w:ascii="Arial Black"/>
          <w:b/>
          <w:color w:val="7C6A55"/>
          <w:sz w:val="20"/>
        </w:rPr>
      </w:pPr>
    </w:p>
    <w:p w:rsidR="00D43E2D" w:rsidRPr="00A52BA5" w:rsidRDefault="00D43E2D" w:rsidP="00D43E2D">
      <w:pPr>
        <w:spacing w:before="114"/>
        <w:ind w:left="160"/>
        <w:rPr>
          <w:rFonts w:ascii="Arial Black"/>
          <w:b/>
          <w:sz w:val="20"/>
        </w:rPr>
      </w:pPr>
      <w:r w:rsidRPr="00A52BA5">
        <w:rPr>
          <w:rFonts w:ascii="Arial Black"/>
          <w:b/>
          <w:sz w:val="20"/>
        </w:rPr>
        <w:t>Introduction and Rationale:</w:t>
      </w:r>
    </w:p>
    <w:p w:rsidR="00D43E2D" w:rsidRDefault="00D43E2D" w:rsidP="00D43E2D">
      <w:pPr>
        <w:pStyle w:val="BodyText"/>
        <w:spacing w:before="88" w:line="259" w:lineRule="auto"/>
        <w:ind w:left="160" w:right="1098"/>
      </w:pPr>
      <w:r>
        <w:rPr>
          <w:color w:val="231F20"/>
        </w:rPr>
        <w:t xml:space="preserve">As the saying goes, “One doesn’t get a second chance to make a first impression.” First impressions constructed from initial experiences are memorable and persistent (Srivastava, </w:t>
      </w:r>
      <w:proofErr w:type="spellStart"/>
      <w:r>
        <w:rPr>
          <w:color w:val="231F20"/>
        </w:rPr>
        <w:t>Guglielmo</w:t>
      </w:r>
      <w:proofErr w:type="spellEnd"/>
      <w:r>
        <w:rPr>
          <w:color w:val="231F20"/>
        </w:rPr>
        <w:t>, &amp; Beer, 2010). These initial perceptions shape beliefs that are difficult to alter, even in light of contradictory new experiences (</w:t>
      </w:r>
      <w:proofErr w:type="spellStart"/>
      <w:r>
        <w:rPr>
          <w:color w:val="231F20"/>
        </w:rPr>
        <w:t>Gawronski</w:t>
      </w:r>
      <w:proofErr w:type="spellEnd"/>
      <w:r>
        <w:rPr>
          <w:color w:val="231F20"/>
        </w:rPr>
        <w:t xml:space="preserve">, </w:t>
      </w:r>
      <w:proofErr w:type="spellStart"/>
      <w:r>
        <w:rPr>
          <w:color w:val="231F20"/>
        </w:rPr>
        <w:t>Rydell</w:t>
      </w:r>
      <w:proofErr w:type="spellEnd"/>
      <w:r>
        <w:rPr>
          <w:color w:val="231F20"/>
        </w:rPr>
        <w:t xml:space="preserve">, </w:t>
      </w:r>
      <w:proofErr w:type="spellStart"/>
      <w:r>
        <w:rPr>
          <w:color w:val="231F20"/>
        </w:rPr>
        <w:t>Vervliet</w:t>
      </w:r>
      <w:proofErr w:type="spellEnd"/>
      <w:r>
        <w:rPr>
          <w:color w:val="231F20"/>
        </w:rPr>
        <w:t xml:space="preserve">, &amp; </w:t>
      </w:r>
      <w:proofErr w:type="spellStart"/>
      <w:r>
        <w:rPr>
          <w:color w:val="231F20"/>
        </w:rPr>
        <w:t>DeHouwer</w:t>
      </w:r>
      <w:proofErr w:type="spellEnd"/>
      <w:r>
        <w:rPr>
          <w:color w:val="231F20"/>
        </w:rPr>
        <w:t xml:space="preserve">, 2010). In his study, “Getting Off on the Wrong Foot: The Timing of a Breach and the Restoration of Trust,” Ohio State University researcher Robert </w:t>
      </w:r>
      <w:proofErr w:type="spellStart"/>
      <w:r>
        <w:rPr>
          <w:color w:val="231F20"/>
        </w:rPr>
        <w:t>Lount</w:t>
      </w:r>
      <w:proofErr w:type="spellEnd"/>
      <w:r>
        <w:rPr>
          <w:color w:val="231F20"/>
        </w:rPr>
        <w:t xml:space="preserve"> (2008) maintains</w:t>
      </w:r>
    </w:p>
    <w:p w:rsidR="00D43E2D" w:rsidRDefault="00D43E2D" w:rsidP="00D43E2D">
      <w:pPr>
        <w:spacing w:before="175" w:line="259" w:lineRule="auto"/>
        <w:ind w:left="610" w:right="1225"/>
        <w:rPr>
          <w:i/>
          <w:sz w:val="21"/>
        </w:rPr>
      </w:pPr>
      <w:r>
        <w:rPr>
          <w:i/>
          <w:color w:val="231F20"/>
          <w:sz w:val="21"/>
        </w:rPr>
        <w:t>First impressions matter when you want to build a lasting trust. If you get off on the wrong foot, the relationship may never be completely right again. It’s easier to rebuild trust after a breach if you already have a strong relationship.</w:t>
      </w:r>
    </w:p>
    <w:p w:rsidR="00D43E2D" w:rsidRDefault="00D43E2D" w:rsidP="00A52BA5">
      <w:pPr>
        <w:spacing w:before="177" w:line="259" w:lineRule="auto"/>
        <w:ind w:left="159" w:right="1087"/>
        <w:rPr>
          <w:sz w:val="21"/>
        </w:rPr>
      </w:pPr>
      <w:r>
        <w:rPr>
          <w:color w:val="231F20"/>
          <w:sz w:val="21"/>
        </w:rPr>
        <w:t xml:space="preserve">The idea that first experiences are extra memorable has a long and extensive history in teaching- learning </w:t>
      </w:r>
      <w:r>
        <w:rPr>
          <w:color w:val="231F20"/>
          <w:spacing w:val="-3"/>
          <w:sz w:val="21"/>
        </w:rPr>
        <w:t xml:space="preserve">theory. </w:t>
      </w:r>
      <w:r>
        <w:rPr>
          <w:color w:val="231F20"/>
          <w:sz w:val="21"/>
        </w:rPr>
        <w:t xml:space="preserve">Harold </w:t>
      </w:r>
      <w:proofErr w:type="spellStart"/>
      <w:r>
        <w:rPr>
          <w:color w:val="231F20"/>
          <w:sz w:val="21"/>
        </w:rPr>
        <w:t>Gullickson’s</w:t>
      </w:r>
      <w:proofErr w:type="spellEnd"/>
      <w:r>
        <w:rPr>
          <w:color w:val="231F20"/>
          <w:sz w:val="21"/>
        </w:rPr>
        <w:t xml:space="preserve"> 1936 study </w:t>
      </w:r>
      <w:r>
        <w:rPr>
          <w:i/>
          <w:color w:val="231F20"/>
          <w:sz w:val="21"/>
        </w:rPr>
        <w:t xml:space="preserve">The Relationship </w:t>
      </w:r>
      <w:proofErr w:type="gramStart"/>
      <w:r>
        <w:rPr>
          <w:i/>
          <w:color w:val="231F20"/>
          <w:sz w:val="21"/>
        </w:rPr>
        <w:t>Between</w:t>
      </w:r>
      <w:proofErr w:type="gramEnd"/>
      <w:r>
        <w:rPr>
          <w:i/>
          <w:color w:val="231F20"/>
          <w:sz w:val="21"/>
        </w:rPr>
        <w:t xml:space="preserve"> Degree of Original Learning and the Degree of Transfer</w:t>
      </w:r>
      <w:r>
        <w:rPr>
          <w:color w:val="231F20"/>
          <w:sz w:val="21"/>
        </w:rPr>
        <w:t xml:space="preserve">, was one of the earliest contributions. Madeline </w:t>
      </w:r>
      <w:r>
        <w:rPr>
          <w:color w:val="231F20"/>
          <w:spacing w:val="-3"/>
          <w:sz w:val="21"/>
        </w:rPr>
        <w:t xml:space="preserve">Hunter, </w:t>
      </w:r>
      <w:r>
        <w:rPr>
          <w:color w:val="231F20"/>
          <w:sz w:val="21"/>
        </w:rPr>
        <w:t xml:space="preserve">in the mid-1980s, included </w:t>
      </w:r>
      <w:r>
        <w:rPr>
          <w:i/>
          <w:color w:val="231F20"/>
          <w:sz w:val="21"/>
        </w:rPr>
        <w:t xml:space="preserve">degree of original learning </w:t>
      </w:r>
      <w:r>
        <w:rPr>
          <w:color w:val="231F20"/>
          <w:sz w:val="21"/>
        </w:rPr>
        <w:t xml:space="preserve">as one of the key factors in transfer theory (Hunter, 1982), as did David Sousa in his 1995 book </w:t>
      </w:r>
      <w:r>
        <w:rPr>
          <w:i/>
          <w:color w:val="231F20"/>
          <w:sz w:val="21"/>
        </w:rPr>
        <w:t>How the Brain Learns</w:t>
      </w:r>
      <w:r>
        <w:rPr>
          <w:color w:val="231F20"/>
          <w:sz w:val="21"/>
        </w:rPr>
        <w:t xml:space="preserve">. More recently, Mike Rutherford (2013), in </w:t>
      </w:r>
      <w:r>
        <w:rPr>
          <w:i/>
          <w:color w:val="231F20"/>
          <w:sz w:val="21"/>
        </w:rPr>
        <w:t xml:space="preserve">The Artisan </w:t>
      </w:r>
      <w:r>
        <w:rPr>
          <w:i/>
          <w:color w:val="231F20"/>
          <w:spacing w:val="-4"/>
          <w:sz w:val="21"/>
        </w:rPr>
        <w:t xml:space="preserve">Teacher: </w:t>
      </w:r>
      <w:r>
        <w:rPr>
          <w:i/>
          <w:color w:val="231F20"/>
          <w:sz w:val="21"/>
        </w:rPr>
        <w:t xml:space="preserve">A Field Guide to Skillful </w:t>
      </w:r>
      <w:proofErr w:type="gramStart"/>
      <w:r>
        <w:rPr>
          <w:i/>
          <w:color w:val="231F20"/>
          <w:spacing w:val="-3"/>
          <w:sz w:val="21"/>
        </w:rPr>
        <w:t>Teaching</w:t>
      </w:r>
      <w:r>
        <w:rPr>
          <w:color w:val="231F20"/>
          <w:spacing w:val="-3"/>
          <w:sz w:val="21"/>
        </w:rPr>
        <w:t>,</w:t>
      </w:r>
      <w:proofErr w:type="gramEnd"/>
      <w:r>
        <w:rPr>
          <w:color w:val="231F20"/>
          <w:spacing w:val="-3"/>
          <w:sz w:val="21"/>
        </w:rPr>
        <w:t xml:space="preserve"> </w:t>
      </w:r>
      <w:r>
        <w:rPr>
          <w:color w:val="231F20"/>
          <w:sz w:val="21"/>
        </w:rPr>
        <w:t xml:space="preserve">devoted an entire chapter to the practice of designing initial learning experiences to take advantage of a student’s natural tendency to recall easily and transfer broadly anything that is judged to be </w:t>
      </w:r>
      <w:r>
        <w:rPr>
          <w:color w:val="231F20"/>
          <w:spacing w:val="-4"/>
          <w:sz w:val="21"/>
        </w:rPr>
        <w:t xml:space="preserve">new, </w:t>
      </w:r>
      <w:r>
        <w:rPr>
          <w:color w:val="231F20"/>
          <w:sz w:val="21"/>
        </w:rPr>
        <w:t>novel, or different.</w:t>
      </w:r>
    </w:p>
    <w:p w:rsidR="00D43E2D" w:rsidRDefault="00D43E2D" w:rsidP="00A52BA5">
      <w:pPr>
        <w:pStyle w:val="BodyText"/>
        <w:tabs>
          <w:tab w:val="left" w:pos="4851"/>
        </w:tabs>
        <w:spacing w:before="174" w:line="259" w:lineRule="auto"/>
        <w:ind w:left="160" w:right="1146"/>
      </w:pPr>
      <w:r>
        <w:rPr>
          <w:color w:val="231F20"/>
        </w:rPr>
        <w:t xml:space="preserve">In school leadership, as in life and in the classroom, not every task or interaction is equal in its impact. Initial experiences are like double coupons. They carry their own content and effect, and, more </w:t>
      </w:r>
      <w:r>
        <w:rPr>
          <w:color w:val="231F20"/>
          <w:spacing w:val="-3"/>
        </w:rPr>
        <w:t xml:space="preserve">importantly, </w:t>
      </w:r>
      <w:r>
        <w:rPr>
          <w:color w:val="231F20"/>
        </w:rPr>
        <w:t>set the template and expectation for future experiences. In practical terms then, a school administrator’s first faculty meeting, first contact with staff, first weekly memo, first Professional Learning Community (PLC) meeting,</w:t>
      </w:r>
      <w:r>
        <w:rPr>
          <w:color w:val="231F20"/>
          <w:spacing w:val="-11"/>
        </w:rPr>
        <w:t xml:space="preserve"> </w:t>
      </w:r>
      <w:r>
        <w:rPr>
          <w:color w:val="231F20"/>
        </w:rPr>
        <w:t>or</w:t>
      </w:r>
      <w:r>
        <w:rPr>
          <w:color w:val="231F20"/>
          <w:spacing w:val="-5"/>
        </w:rPr>
        <w:t xml:space="preserve"> </w:t>
      </w:r>
      <w:r>
        <w:rPr>
          <w:color w:val="231F20"/>
        </w:rPr>
        <w:t>first</w:t>
      </w:r>
      <w:r>
        <w:rPr>
          <w:color w:val="231F20"/>
          <w:u w:val="single" w:color="221E1F"/>
        </w:rPr>
        <w:t xml:space="preserve"> </w:t>
      </w:r>
      <w:r>
        <w:rPr>
          <w:color w:val="231F20"/>
          <w:u w:val="single" w:color="221E1F"/>
        </w:rPr>
        <w:tab/>
      </w:r>
      <w:r>
        <w:rPr>
          <w:color w:val="231F20"/>
        </w:rPr>
        <w:t>(fill in the blank) are indeed critical firsts. As such, they are worthy targets for careful planning, sharp design, and best</w:t>
      </w:r>
      <w:r>
        <w:rPr>
          <w:color w:val="231F20"/>
          <w:spacing w:val="-12"/>
        </w:rPr>
        <w:t xml:space="preserve"> </w:t>
      </w:r>
      <w:r>
        <w:rPr>
          <w:color w:val="231F20"/>
        </w:rPr>
        <w:t>efforts.</w:t>
      </w:r>
    </w:p>
    <w:p w:rsidR="00A52BA5" w:rsidRDefault="00A52BA5" w:rsidP="00A52BA5">
      <w:pPr>
        <w:pStyle w:val="BodyText"/>
        <w:spacing w:before="76" w:line="259" w:lineRule="auto"/>
        <w:ind w:left="160" w:right="1383"/>
        <w:rPr>
          <w:color w:val="231F20"/>
        </w:rPr>
      </w:pPr>
    </w:p>
    <w:p w:rsidR="00D43E2D" w:rsidRDefault="00A52BA5" w:rsidP="00A52BA5">
      <w:pPr>
        <w:pStyle w:val="BodyText"/>
        <w:spacing w:before="76" w:line="259" w:lineRule="auto"/>
        <w:ind w:left="160" w:right="1383"/>
      </w:pPr>
      <w:r>
        <w:rPr>
          <w:color w:val="231F20"/>
        </w:rPr>
        <w:t>T</w:t>
      </w:r>
      <w:r w:rsidR="00D43E2D">
        <w:rPr>
          <w:color w:val="231F20"/>
        </w:rPr>
        <w:t xml:space="preserve">he school administrator </w:t>
      </w:r>
      <w:r>
        <w:rPr>
          <w:color w:val="231F20"/>
        </w:rPr>
        <w:t xml:space="preserve">understands </w:t>
      </w:r>
      <w:r w:rsidR="00D43E2D">
        <w:rPr>
          <w:color w:val="231F20"/>
        </w:rPr>
        <w:t>the importance of making a positive impact as an emergin</w:t>
      </w:r>
      <w:r>
        <w:rPr>
          <w:color w:val="231F20"/>
        </w:rPr>
        <w:t>g leader. S</w:t>
      </w:r>
      <w:r w:rsidR="00D43E2D">
        <w:rPr>
          <w:color w:val="231F20"/>
        </w:rPr>
        <w:t xml:space="preserve">chool administrators </w:t>
      </w:r>
      <w:r>
        <w:rPr>
          <w:color w:val="231F20"/>
        </w:rPr>
        <w:t xml:space="preserve">can </w:t>
      </w:r>
      <w:r w:rsidR="00D43E2D">
        <w:rPr>
          <w:color w:val="231F20"/>
        </w:rPr>
        <w:t xml:space="preserve">be more proactive and purposeful as they plan initial school engagements. </w:t>
      </w:r>
      <w:r>
        <w:rPr>
          <w:color w:val="231F20"/>
        </w:rPr>
        <w:t>The MLDS helps school principals</w:t>
      </w:r>
      <w:r w:rsidR="00D43E2D">
        <w:rPr>
          <w:color w:val="231F20"/>
        </w:rPr>
        <w:t xml:space="preserve"> examine best practices, tools, and protocols for designing successful first opportunities typical of the opening of a new school year.</w:t>
      </w:r>
    </w:p>
    <w:p w:rsidR="00D43E2D" w:rsidRDefault="00D43E2D" w:rsidP="00A52BA5">
      <w:pPr>
        <w:pStyle w:val="BodyText"/>
        <w:spacing w:before="3"/>
        <w:rPr>
          <w:sz w:val="17"/>
        </w:rPr>
      </w:pPr>
    </w:p>
    <w:p w:rsidR="00D43E2D" w:rsidRDefault="00D43E2D" w:rsidP="00A52BA5">
      <w:pPr>
        <w:pStyle w:val="ListParagraph"/>
        <w:numPr>
          <w:ilvl w:val="2"/>
          <w:numId w:val="1"/>
        </w:numPr>
        <w:tabs>
          <w:tab w:val="left" w:pos="790"/>
        </w:tabs>
        <w:spacing w:before="0" w:line="259" w:lineRule="auto"/>
        <w:ind w:right="2289"/>
        <w:rPr>
          <w:sz w:val="21"/>
        </w:rPr>
      </w:pPr>
      <w:r>
        <w:rPr>
          <w:color w:val="231F20"/>
          <w:sz w:val="21"/>
        </w:rPr>
        <w:t>Increase</w:t>
      </w:r>
      <w:r>
        <w:rPr>
          <w:color w:val="231F20"/>
          <w:spacing w:val="-4"/>
          <w:sz w:val="21"/>
        </w:rPr>
        <w:t xml:space="preserve"> </w:t>
      </w:r>
      <w:r w:rsidR="00A52BA5">
        <w:rPr>
          <w:color w:val="231F20"/>
          <w:sz w:val="21"/>
        </w:rPr>
        <w:t>your</w:t>
      </w:r>
      <w:r>
        <w:rPr>
          <w:color w:val="231F20"/>
          <w:spacing w:val="-12"/>
          <w:sz w:val="21"/>
        </w:rPr>
        <w:t xml:space="preserve"> </w:t>
      </w:r>
      <w:r>
        <w:rPr>
          <w:color w:val="231F20"/>
          <w:sz w:val="21"/>
        </w:rPr>
        <w:t>awareness</w:t>
      </w:r>
      <w:r>
        <w:rPr>
          <w:color w:val="231F20"/>
          <w:spacing w:val="-5"/>
          <w:sz w:val="21"/>
        </w:rPr>
        <w:t xml:space="preserve"> </w:t>
      </w:r>
      <w:r>
        <w:rPr>
          <w:color w:val="231F20"/>
          <w:sz w:val="21"/>
        </w:rPr>
        <w:t>of</w:t>
      </w:r>
      <w:r>
        <w:rPr>
          <w:color w:val="231F20"/>
          <w:spacing w:val="-5"/>
          <w:sz w:val="21"/>
        </w:rPr>
        <w:t xml:space="preserve"> </w:t>
      </w:r>
      <w:r>
        <w:rPr>
          <w:color w:val="231F20"/>
          <w:sz w:val="21"/>
        </w:rPr>
        <w:t>the</w:t>
      </w:r>
      <w:r>
        <w:rPr>
          <w:color w:val="231F20"/>
          <w:spacing w:val="-4"/>
          <w:sz w:val="21"/>
        </w:rPr>
        <w:t xml:space="preserve"> </w:t>
      </w:r>
      <w:r>
        <w:rPr>
          <w:color w:val="231F20"/>
          <w:sz w:val="21"/>
        </w:rPr>
        <w:t>large</w:t>
      </w:r>
      <w:r>
        <w:rPr>
          <w:color w:val="231F20"/>
          <w:spacing w:val="-5"/>
          <w:sz w:val="21"/>
        </w:rPr>
        <w:t xml:space="preserve"> </w:t>
      </w:r>
      <w:r>
        <w:rPr>
          <w:color w:val="231F20"/>
          <w:sz w:val="21"/>
        </w:rPr>
        <w:t>and</w:t>
      </w:r>
      <w:r>
        <w:rPr>
          <w:color w:val="231F20"/>
          <w:spacing w:val="-5"/>
          <w:sz w:val="21"/>
        </w:rPr>
        <w:t xml:space="preserve"> </w:t>
      </w:r>
      <w:r>
        <w:rPr>
          <w:color w:val="231F20"/>
          <w:sz w:val="21"/>
        </w:rPr>
        <w:t>persistent</w:t>
      </w:r>
      <w:r>
        <w:rPr>
          <w:color w:val="231F20"/>
          <w:spacing w:val="-5"/>
          <w:sz w:val="21"/>
        </w:rPr>
        <w:t xml:space="preserve"> </w:t>
      </w:r>
      <w:r>
        <w:rPr>
          <w:color w:val="231F20"/>
          <w:sz w:val="21"/>
        </w:rPr>
        <w:t>effects</w:t>
      </w:r>
      <w:r>
        <w:rPr>
          <w:color w:val="231F20"/>
          <w:spacing w:val="-4"/>
          <w:sz w:val="21"/>
        </w:rPr>
        <w:t xml:space="preserve"> </w:t>
      </w:r>
      <w:r>
        <w:rPr>
          <w:color w:val="231F20"/>
          <w:sz w:val="21"/>
        </w:rPr>
        <w:t>of</w:t>
      </w:r>
      <w:r>
        <w:rPr>
          <w:color w:val="231F20"/>
          <w:spacing w:val="-5"/>
          <w:sz w:val="21"/>
        </w:rPr>
        <w:t xml:space="preserve"> </w:t>
      </w:r>
      <w:r>
        <w:rPr>
          <w:color w:val="231F20"/>
          <w:sz w:val="21"/>
        </w:rPr>
        <w:t>first experiences.</w:t>
      </w:r>
    </w:p>
    <w:p w:rsidR="00D43E2D" w:rsidRDefault="00D43E2D" w:rsidP="00A52BA5">
      <w:pPr>
        <w:pStyle w:val="ListParagraph"/>
        <w:numPr>
          <w:ilvl w:val="2"/>
          <w:numId w:val="1"/>
        </w:numPr>
        <w:tabs>
          <w:tab w:val="left" w:pos="790"/>
        </w:tabs>
        <w:spacing w:line="259" w:lineRule="auto"/>
        <w:ind w:right="1764"/>
        <w:rPr>
          <w:sz w:val="21"/>
        </w:rPr>
      </w:pPr>
      <w:r>
        <w:rPr>
          <w:color w:val="231F20"/>
          <w:sz w:val="21"/>
        </w:rPr>
        <w:t>Identify key windows of opportunity for creating success and positive momentum in typical, beginning of the year school</w:t>
      </w:r>
      <w:r>
        <w:rPr>
          <w:color w:val="231F20"/>
          <w:spacing w:val="-4"/>
          <w:sz w:val="21"/>
        </w:rPr>
        <w:t xml:space="preserve"> </w:t>
      </w:r>
      <w:r>
        <w:rPr>
          <w:color w:val="231F20"/>
          <w:sz w:val="21"/>
        </w:rPr>
        <w:t>experiences.</w:t>
      </w:r>
    </w:p>
    <w:p w:rsidR="00242EB2" w:rsidRPr="00A52BA5" w:rsidRDefault="00A52BA5" w:rsidP="00A52BA5">
      <w:pPr>
        <w:pStyle w:val="ListParagraph"/>
        <w:numPr>
          <w:ilvl w:val="2"/>
          <w:numId w:val="1"/>
        </w:numPr>
        <w:tabs>
          <w:tab w:val="left" w:pos="790"/>
        </w:tabs>
        <w:spacing w:before="46" w:line="259" w:lineRule="auto"/>
        <w:ind w:right="1565"/>
        <w:rPr>
          <w:sz w:val="21"/>
        </w:rPr>
      </w:pPr>
      <w:r>
        <w:rPr>
          <w:color w:val="231F20"/>
          <w:sz w:val="21"/>
        </w:rPr>
        <w:t>Use</w:t>
      </w:r>
      <w:r w:rsidR="00D43E2D">
        <w:rPr>
          <w:color w:val="231F20"/>
          <w:sz w:val="21"/>
        </w:rPr>
        <w:t xml:space="preserve"> practical and timely strategies for creating successful and future- shaping initial school</w:t>
      </w:r>
      <w:r w:rsidR="00D43E2D">
        <w:rPr>
          <w:color w:val="231F20"/>
          <w:spacing w:val="-2"/>
          <w:sz w:val="21"/>
        </w:rPr>
        <w:t xml:space="preserve"> </w:t>
      </w:r>
      <w:r w:rsidR="00D43E2D">
        <w:rPr>
          <w:color w:val="231F20"/>
          <w:sz w:val="21"/>
        </w:rPr>
        <w:t>experiences.</w:t>
      </w:r>
      <w:bookmarkStart w:id="0" w:name="_GoBack"/>
      <w:bookmarkEnd w:id="0"/>
    </w:p>
    <w:sectPr w:rsidR="00242EB2" w:rsidRPr="00A5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altName w:val="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0DF4"/>
    <w:multiLevelType w:val="hybridMultilevel"/>
    <w:tmpl w:val="EA8A3FB6"/>
    <w:lvl w:ilvl="0" w:tplc="BD42137A">
      <w:start w:val="2"/>
      <w:numFmt w:val="decimal"/>
      <w:lvlText w:val="%1-"/>
      <w:lvlJc w:val="left"/>
      <w:pPr>
        <w:ind w:left="359" w:hanging="199"/>
        <w:jc w:val="left"/>
      </w:pPr>
      <w:rPr>
        <w:rFonts w:ascii="Arial Black" w:eastAsia="Arial Black" w:hAnsi="Arial Black" w:cs="Arial Black" w:hint="default"/>
        <w:b/>
        <w:bCs/>
        <w:color w:val="231F20"/>
        <w:spacing w:val="-2"/>
        <w:w w:val="100"/>
        <w:sz w:val="18"/>
        <w:szCs w:val="18"/>
        <w:lang w:val="en-US" w:eastAsia="en-US" w:bidi="en-US"/>
      </w:rPr>
    </w:lvl>
    <w:lvl w:ilvl="1" w:tplc="8BACAE2E">
      <w:start w:val="1"/>
      <w:numFmt w:val="decimal"/>
      <w:lvlText w:val="%2"/>
      <w:lvlJc w:val="left"/>
      <w:pPr>
        <w:ind w:left="739" w:hanging="294"/>
        <w:jc w:val="right"/>
      </w:pPr>
      <w:rPr>
        <w:rFonts w:hint="default"/>
        <w:b/>
        <w:bCs/>
        <w:w w:val="102"/>
        <w:position w:val="3"/>
        <w:lang w:val="en-US" w:eastAsia="en-US" w:bidi="en-US"/>
      </w:rPr>
    </w:lvl>
    <w:lvl w:ilvl="2" w:tplc="B0D42720">
      <w:start w:val="1"/>
      <w:numFmt w:val="upperLetter"/>
      <w:lvlText w:val="%3."/>
      <w:lvlJc w:val="left"/>
      <w:pPr>
        <w:ind w:left="790" w:hanging="260"/>
        <w:jc w:val="left"/>
      </w:pPr>
      <w:rPr>
        <w:rFonts w:ascii="Arial" w:eastAsia="Arial" w:hAnsi="Arial" w:cs="Arial" w:hint="default"/>
        <w:color w:val="231F20"/>
        <w:w w:val="100"/>
        <w:sz w:val="21"/>
        <w:szCs w:val="21"/>
        <w:lang w:val="en-US" w:eastAsia="en-US" w:bidi="en-US"/>
      </w:rPr>
    </w:lvl>
    <w:lvl w:ilvl="3" w:tplc="689A3A02">
      <w:numFmt w:val="bullet"/>
      <w:lvlText w:val="•"/>
      <w:lvlJc w:val="left"/>
      <w:pPr>
        <w:ind w:left="861" w:hanging="260"/>
      </w:pPr>
      <w:rPr>
        <w:rFonts w:hint="default"/>
        <w:lang w:val="en-US" w:eastAsia="en-US" w:bidi="en-US"/>
      </w:rPr>
    </w:lvl>
    <w:lvl w:ilvl="4" w:tplc="B6427320">
      <w:numFmt w:val="bullet"/>
      <w:lvlText w:val="•"/>
      <w:lvlJc w:val="left"/>
      <w:pPr>
        <w:ind w:left="922" w:hanging="260"/>
      </w:pPr>
      <w:rPr>
        <w:rFonts w:hint="default"/>
        <w:lang w:val="en-US" w:eastAsia="en-US" w:bidi="en-US"/>
      </w:rPr>
    </w:lvl>
    <w:lvl w:ilvl="5" w:tplc="28AA5EC2">
      <w:numFmt w:val="bullet"/>
      <w:lvlText w:val="•"/>
      <w:lvlJc w:val="left"/>
      <w:pPr>
        <w:ind w:left="983" w:hanging="260"/>
      </w:pPr>
      <w:rPr>
        <w:rFonts w:hint="default"/>
        <w:lang w:val="en-US" w:eastAsia="en-US" w:bidi="en-US"/>
      </w:rPr>
    </w:lvl>
    <w:lvl w:ilvl="6" w:tplc="A948D376">
      <w:numFmt w:val="bullet"/>
      <w:lvlText w:val="•"/>
      <w:lvlJc w:val="left"/>
      <w:pPr>
        <w:ind w:left="1044" w:hanging="260"/>
      </w:pPr>
      <w:rPr>
        <w:rFonts w:hint="default"/>
        <w:lang w:val="en-US" w:eastAsia="en-US" w:bidi="en-US"/>
      </w:rPr>
    </w:lvl>
    <w:lvl w:ilvl="7" w:tplc="D90E9FFC">
      <w:numFmt w:val="bullet"/>
      <w:lvlText w:val="•"/>
      <w:lvlJc w:val="left"/>
      <w:pPr>
        <w:ind w:left="1105" w:hanging="260"/>
      </w:pPr>
      <w:rPr>
        <w:rFonts w:hint="default"/>
        <w:lang w:val="en-US" w:eastAsia="en-US" w:bidi="en-US"/>
      </w:rPr>
    </w:lvl>
    <w:lvl w:ilvl="8" w:tplc="1756B3B4">
      <w:numFmt w:val="bullet"/>
      <w:lvlText w:val="•"/>
      <w:lvlJc w:val="left"/>
      <w:pPr>
        <w:ind w:left="1166" w:hanging="260"/>
      </w:pPr>
      <w:rPr>
        <w:rFonts w:hint="default"/>
        <w:lang w:val="en-US" w:eastAsia="en-US" w:bidi="en-US"/>
      </w:rPr>
    </w:lvl>
  </w:abstractNum>
  <w:abstractNum w:abstractNumId="1">
    <w:nsid w:val="6D5C41AC"/>
    <w:multiLevelType w:val="hybridMultilevel"/>
    <w:tmpl w:val="702E1E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2D"/>
    <w:rsid w:val="00242EB2"/>
    <w:rsid w:val="00A52BA5"/>
    <w:rsid w:val="00D4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3E2D"/>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D43E2D"/>
    <w:pPr>
      <w:spacing w:before="12"/>
      <w:ind w:left="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43E2D"/>
    <w:rPr>
      <w:rFonts w:ascii="Arial" w:eastAsia="Arial" w:hAnsi="Arial" w:cs="Arial"/>
      <w:sz w:val="24"/>
      <w:szCs w:val="24"/>
      <w:lang w:bidi="en-US"/>
    </w:rPr>
  </w:style>
  <w:style w:type="paragraph" w:styleId="BodyText">
    <w:name w:val="Body Text"/>
    <w:basedOn w:val="Normal"/>
    <w:link w:val="BodyTextChar"/>
    <w:uiPriority w:val="1"/>
    <w:qFormat/>
    <w:rsid w:val="00D43E2D"/>
    <w:rPr>
      <w:sz w:val="21"/>
      <w:szCs w:val="21"/>
    </w:rPr>
  </w:style>
  <w:style w:type="character" w:customStyle="1" w:styleId="BodyTextChar">
    <w:name w:val="Body Text Char"/>
    <w:basedOn w:val="DefaultParagraphFont"/>
    <w:link w:val="BodyText"/>
    <w:uiPriority w:val="1"/>
    <w:rsid w:val="00D43E2D"/>
    <w:rPr>
      <w:rFonts w:ascii="Arial" w:eastAsia="Arial" w:hAnsi="Arial" w:cs="Arial"/>
      <w:sz w:val="21"/>
      <w:szCs w:val="21"/>
      <w:lang w:bidi="en-US"/>
    </w:rPr>
  </w:style>
  <w:style w:type="paragraph" w:styleId="ListParagraph">
    <w:name w:val="List Paragraph"/>
    <w:basedOn w:val="Normal"/>
    <w:uiPriority w:val="34"/>
    <w:qFormat/>
    <w:rsid w:val="00D43E2D"/>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3E2D"/>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D43E2D"/>
    <w:pPr>
      <w:spacing w:before="12"/>
      <w:ind w:left="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43E2D"/>
    <w:rPr>
      <w:rFonts w:ascii="Arial" w:eastAsia="Arial" w:hAnsi="Arial" w:cs="Arial"/>
      <w:sz w:val="24"/>
      <w:szCs w:val="24"/>
      <w:lang w:bidi="en-US"/>
    </w:rPr>
  </w:style>
  <w:style w:type="paragraph" w:styleId="BodyText">
    <w:name w:val="Body Text"/>
    <w:basedOn w:val="Normal"/>
    <w:link w:val="BodyTextChar"/>
    <w:uiPriority w:val="1"/>
    <w:qFormat/>
    <w:rsid w:val="00D43E2D"/>
    <w:rPr>
      <w:sz w:val="21"/>
      <w:szCs w:val="21"/>
    </w:rPr>
  </w:style>
  <w:style w:type="character" w:customStyle="1" w:styleId="BodyTextChar">
    <w:name w:val="Body Text Char"/>
    <w:basedOn w:val="DefaultParagraphFont"/>
    <w:link w:val="BodyText"/>
    <w:uiPriority w:val="1"/>
    <w:rsid w:val="00D43E2D"/>
    <w:rPr>
      <w:rFonts w:ascii="Arial" w:eastAsia="Arial" w:hAnsi="Arial" w:cs="Arial"/>
      <w:sz w:val="21"/>
      <w:szCs w:val="21"/>
      <w:lang w:bidi="en-US"/>
    </w:rPr>
  </w:style>
  <w:style w:type="paragraph" w:styleId="ListParagraph">
    <w:name w:val="List Paragraph"/>
    <w:basedOn w:val="Normal"/>
    <w:uiPriority w:val="34"/>
    <w:qFormat/>
    <w:rsid w:val="00D43E2D"/>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2018-07-23T21:29:00Z</dcterms:created>
  <dcterms:modified xsi:type="dcterms:W3CDTF">2018-07-23T21:54:00Z</dcterms:modified>
</cp:coreProperties>
</file>