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01" w:rsidRDefault="00EB5001" w:rsidP="00CB574E">
      <w:pPr>
        <w:pStyle w:val="Heading7"/>
        <w:spacing w:before="177"/>
        <w:rPr>
          <w:color w:val="231F20"/>
        </w:rPr>
        <w:sectPr w:rsidR="00EB5001" w:rsidSect="00EB5001">
          <w:pgSz w:w="12240" w:h="15840"/>
          <w:pgMar w:top="1440" w:right="1440" w:bottom="1440" w:left="1440" w:header="720" w:footer="720" w:gutter="0"/>
          <w:cols w:space="720"/>
          <w:docGrid w:linePitch="360"/>
        </w:sectPr>
      </w:pPr>
    </w:p>
    <w:p w:rsidR="00EB5001" w:rsidRPr="008C1F3C" w:rsidRDefault="00EB5001" w:rsidP="00EB5001">
      <w:pPr>
        <w:widowControl/>
        <w:autoSpaceDE/>
        <w:autoSpaceDN/>
        <w:spacing w:after="200" w:line="276" w:lineRule="auto"/>
        <w:contextualSpacing/>
        <w:rPr>
          <w:b/>
        </w:rPr>
      </w:pPr>
      <w:r w:rsidRPr="008C1F3C">
        <w:rPr>
          <w:b/>
        </w:rPr>
        <w:lastRenderedPageBreak/>
        <w:t xml:space="preserve">Effective principals </w:t>
      </w:r>
      <w:r>
        <w:rPr>
          <w:b/>
        </w:rPr>
        <w:t xml:space="preserve">actively see and shape the invisible, yet powerful, forces that fuel or freeze a school’s improvement efforts. </w:t>
      </w:r>
    </w:p>
    <w:p w:rsidR="00CB574E" w:rsidRDefault="00CB574E" w:rsidP="00CB574E">
      <w:pPr>
        <w:pStyle w:val="Heading7"/>
        <w:spacing w:before="177"/>
      </w:pPr>
      <w:r>
        <w:rPr>
          <w:color w:val="231F20"/>
        </w:rPr>
        <w:t>Introduction and Rationale:</w:t>
      </w:r>
    </w:p>
    <w:p w:rsidR="00CB574E" w:rsidRDefault="00CB574E" w:rsidP="00CB574E">
      <w:pPr>
        <w:pStyle w:val="BodyText"/>
        <w:spacing w:before="3"/>
        <w:rPr>
          <w:b/>
          <w:sz w:val="17"/>
        </w:rPr>
      </w:pPr>
    </w:p>
    <w:p w:rsidR="00CB574E" w:rsidRDefault="00CB574E" w:rsidP="00CB574E">
      <w:pPr>
        <w:pStyle w:val="BodyText"/>
        <w:spacing w:line="259" w:lineRule="auto"/>
        <w:ind w:left="160" w:right="1098"/>
        <w:rPr>
          <w:color w:val="231F20"/>
        </w:rPr>
      </w:pPr>
      <w:r>
        <w:rPr>
          <w:color w:val="231F20"/>
        </w:rPr>
        <w:t>Each and every school comes equipped with a strong, existing culture. This invisible, but powerful, force is the primary determiner of success for a school’s improvement efforts (</w:t>
      </w:r>
      <w:proofErr w:type="spellStart"/>
      <w:r>
        <w:rPr>
          <w:color w:val="231F20"/>
        </w:rPr>
        <w:t>Fullan</w:t>
      </w:r>
      <w:proofErr w:type="spellEnd"/>
      <w:r>
        <w:rPr>
          <w:color w:val="231F20"/>
        </w:rPr>
        <w:t>, 2007; Hollins, 2015).</w:t>
      </w:r>
    </w:p>
    <w:p w:rsidR="00EB5001" w:rsidRDefault="00EB5001" w:rsidP="00CB574E">
      <w:pPr>
        <w:pStyle w:val="BodyText"/>
        <w:spacing w:line="259" w:lineRule="auto"/>
        <w:ind w:left="160" w:right="1098"/>
      </w:pPr>
    </w:p>
    <w:p w:rsidR="00CB574E" w:rsidRDefault="00CB574E" w:rsidP="00CB574E">
      <w:pPr>
        <w:pStyle w:val="BodyText"/>
        <w:spacing w:line="259" w:lineRule="auto"/>
        <w:ind w:left="160" w:right="1185"/>
      </w:pPr>
      <w:r>
        <w:rPr>
          <w:color w:val="231F20"/>
        </w:rPr>
        <w:t xml:space="preserve">It is an unfortunate twist that many school administrators are selected for their positions based on their abilities to produce tangible, structural results; designing a school schedule, supervising employees, enforcing school discipline, or balancing a budget. However, beginning on day one of the job as school administrator, the primary factor for success is no longer tangible (Cunningham &amp; </w:t>
      </w:r>
      <w:proofErr w:type="spellStart"/>
      <w:r>
        <w:rPr>
          <w:color w:val="231F20"/>
        </w:rPr>
        <w:t>Cresso</w:t>
      </w:r>
      <w:proofErr w:type="spellEnd"/>
      <w:r>
        <w:rPr>
          <w:color w:val="231F20"/>
        </w:rPr>
        <w:t>, 1993). It is the leader’s ability to understand, assess, and positively shape the intangible, but powerful, force that fuels or freezes a school’s improvement efforts- school culture.</w:t>
      </w:r>
    </w:p>
    <w:p w:rsidR="00CB574E" w:rsidRDefault="00CB574E" w:rsidP="00CB574E">
      <w:pPr>
        <w:pStyle w:val="BodyText"/>
        <w:spacing w:before="174"/>
        <w:ind w:left="160"/>
      </w:pPr>
      <w:r>
        <w:rPr>
          <w:color w:val="231F20"/>
        </w:rPr>
        <w:t>Culture, being an invisible force, lends itself to several definitions and descriptions…</w:t>
      </w:r>
    </w:p>
    <w:p w:rsidR="00CB574E" w:rsidRDefault="00CB574E" w:rsidP="00CB574E">
      <w:pPr>
        <w:pStyle w:val="BodyText"/>
        <w:spacing w:before="3"/>
        <w:rPr>
          <w:sz w:val="17"/>
        </w:rPr>
      </w:pPr>
    </w:p>
    <w:p w:rsidR="00CB574E" w:rsidRDefault="00CB574E" w:rsidP="00CB574E">
      <w:pPr>
        <w:pStyle w:val="ListParagraph"/>
        <w:numPr>
          <w:ilvl w:val="1"/>
          <w:numId w:val="2"/>
        </w:numPr>
        <w:tabs>
          <w:tab w:val="left" w:pos="791"/>
        </w:tabs>
        <w:spacing w:before="0" w:line="259" w:lineRule="auto"/>
        <w:ind w:right="1812"/>
        <w:rPr>
          <w:sz w:val="21"/>
        </w:rPr>
      </w:pPr>
      <w:r>
        <w:rPr>
          <w:color w:val="231F20"/>
          <w:sz w:val="21"/>
        </w:rPr>
        <w:t>The</w:t>
      </w:r>
      <w:r>
        <w:rPr>
          <w:color w:val="231F20"/>
          <w:spacing w:val="-4"/>
          <w:sz w:val="21"/>
        </w:rPr>
        <w:t xml:space="preserve"> </w:t>
      </w:r>
      <w:r>
        <w:rPr>
          <w:color w:val="231F20"/>
          <w:sz w:val="21"/>
        </w:rPr>
        <w:t>totality</w:t>
      </w:r>
      <w:r>
        <w:rPr>
          <w:color w:val="231F20"/>
          <w:spacing w:val="-4"/>
          <w:sz w:val="21"/>
        </w:rPr>
        <w:t xml:space="preserve"> </w:t>
      </w:r>
      <w:r>
        <w:rPr>
          <w:color w:val="231F20"/>
          <w:sz w:val="21"/>
        </w:rPr>
        <w:t>of</w:t>
      </w:r>
      <w:r>
        <w:rPr>
          <w:color w:val="231F20"/>
          <w:spacing w:val="-5"/>
          <w:sz w:val="21"/>
        </w:rPr>
        <w:t xml:space="preserve"> </w:t>
      </w:r>
      <w:r>
        <w:rPr>
          <w:color w:val="231F20"/>
          <w:sz w:val="21"/>
        </w:rPr>
        <w:t>socially</w:t>
      </w:r>
      <w:r>
        <w:rPr>
          <w:color w:val="231F20"/>
          <w:spacing w:val="-4"/>
          <w:sz w:val="21"/>
        </w:rPr>
        <w:t xml:space="preserve"> </w:t>
      </w:r>
      <w:r>
        <w:rPr>
          <w:color w:val="231F20"/>
          <w:sz w:val="21"/>
        </w:rPr>
        <w:t>transmitted</w:t>
      </w:r>
      <w:r>
        <w:rPr>
          <w:color w:val="231F20"/>
          <w:spacing w:val="-4"/>
          <w:sz w:val="21"/>
        </w:rPr>
        <w:t xml:space="preserve"> </w:t>
      </w:r>
      <w:r>
        <w:rPr>
          <w:color w:val="231F20"/>
          <w:sz w:val="21"/>
        </w:rPr>
        <w:t>behavior</w:t>
      </w:r>
      <w:r>
        <w:rPr>
          <w:color w:val="231F20"/>
          <w:spacing w:val="-5"/>
          <w:sz w:val="21"/>
        </w:rPr>
        <w:t xml:space="preserve"> </w:t>
      </w:r>
      <w:r>
        <w:rPr>
          <w:color w:val="231F20"/>
          <w:sz w:val="21"/>
        </w:rPr>
        <w:t>patterns,</w:t>
      </w:r>
      <w:r>
        <w:rPr>
          <w:color w:val="231F20"/>
          <w:spacing w:val="-5"/>
          <w:sz w:val="21"/>
        </w:rPr>
        <w:t xml:space="preserve"> </w:t>
      </w:r>
      <w:r>
        <w:rPr>
          <w:color w:val="231F20"/>
          <w:sz w:val="21"/>
        </w:rPr>
        <w:t>arts,</w:t>
      </w:r>
      <w:r>
        <w:rPr>
          <w:color w:val="231F20"/>
          <w:spacing w:val="-5"/>
          <w:sz w:val="21"/>
        </w:rPr>
        <w:t xml:space="preserve"> </w:t>
      </w:r>
      <w:r>
        <w:rPr>
          <w:color w:val="231F20"/>
          <w:sz w:val="21"/>
        </w:rPr>
        <w:t>beliefs,</w:t>
      </w:r>
      <w:r>
        <w:rPr>
          <w:color w:val="231F20"/>
          <w:spacing w:val="-5"/>
          <w:sz w:val="21"/>
        </w:rPr>
        <w:t xml:space="preserve"> </w:t>
      </w:r>
      <w:r>
        <w:rPr>
          <w:color w:val="231F20"/>
          <w:sz w:val="21"/>
        </w:rPr>
        <w:t>institutions,</w:t>
      </w:r>
      <w:r>
        <w:rPr>
          <w:color w:val="231F20"/>
          <w:spacing w:val="-5"/>
          <w:sz w:val="21"/>
        </w:rPr>
        <w:t xml:space="preserve"> </w:t>
      </w:r>
      <w:r>
        <w:rPr>
          <w:color w:val="231F20"/>
          <w:sz w:val="21"/>
        </w:rPr>
        <w:t>and</w:t>
      </w:r>
      <w:r>
        <w:rPr>
          <w:color w:val="231F20"/>
          <w:spacing w:val="-5"/>
          <w:sz w:val="21"/>
        </w:rPr>
        <w:t xml:space="preserve"> </w:t>
      </w:r>
      <w:r>
        <w:rPr>
          <w:color w:val="231F20"/>
          <w:sz w:val="21"/>
        </w:rPr>
        <w:t>all</w:t>
      </w:r>
      <w:r>
        <w:rPr>
          <w:color w:val="231F20"/>
          <w:spacing w:val="-5"/>
          <w:sz w:val="21"/>
        </w:rPr>
        <w:t xml:space="preserve"> </w:t>
      </w:r>
      <w:r>
        <w:rPr>
          <w:color w:val="231F20"/>
          <w:sz w:val="21"/>
        </w:rPr>
        <w:t>other products of human work and thought characteristics of a community or</w:t>
      </w:r>
      <w:r>
        <w:rPr>
          <w:color w:val="231F20"/>
          <w:spacing w:val="-22"/>
          <w:sz w:val="21"/>
        </w:rPr>
        <w:t xml:space="preserve"> </w:t>
      </w:r>
      <w:r>
        <w:rPr>
          <w:color w:val="231F20"/>
          <w:sz w:val="21"/>
        </w:rPr>
        <w:t>population.</w:t>
      </w:r>
    </w:p>
    <w:p w:rsidR="00CB574E" w:rsidRDefault="00CB574E" w:rsidP="00CB574E">
      <w:pPr>
        <w:pStyle w:val="BodyText"/>
        <w:spacing w:line="240" w:lineRule="exact"/>
        <w:ind w:left="790"/>
      </w:pPr>
      <w:r>
        <w:rPr>
          <w:color w:val="231F20"/>
        </w:rPr>
        <w:t>(The American Heritage Dictionary, 1975)</w:t>
      </w:r>
    </w:p>
    <w:p w:rsidR="00CB574E" w:rsidRDefault="00CB574E" w:rsidP="00CB574E">
      <w:pPr>
        <w:pStyle w:val="ListParagraph"/>
        <w:numPr>
          <w:ilvl w:val="1"/>
          <w:numId w:val="2"/>
        </w:numPr>
        <w:tabs>
          <w:tab w:val="left" w:pos="791"/>
        </w:tabs>
        <w:spacing w:before="65" w:line="259" w:lineRule="auto"/>
        <w:ind w:right="1461"/>
        <w:rPr>
          <w:sz w:val="21"/>
        </w:rPr>
      </w:pPr>
      <w:r>
        <w:rPr>
          <w:color w:val="231F20"/>
          <w:sz w:val="21"/>
        </w:rPr>
        <w:t>The set of attitudes, values, goals, and practices that characterizes a company or</w:t>
      </w:r>
      <w:r>
        <w:rPr>
          <w:color w:val="231F20"/>
          <w:spacing w:val="-32"/>
          <w:sz w:val="21"/>
        </w:rPr>
        <w:t xml:space="preserve"> </w:t>
      </w:r>
      <w:r>
        <w:rPr>
          <w:color w:val="231F20"/>
          <w:sz w:val="21"/>
        </w:rPr>
        <w:t xml:space="preserve">corporation. (Merriam-Webster’s Collegiate </w:t>
      </w:r>
      <w:r>
        <w:rPr>
          <w:color w:val="231F20"/>
          <w:spacing w:val="-3"/>
          <w:sz w:val="21"/>
        </w:rPr>
        <w:t>Dictionary,</w:t>
      </w:r>
      <w:r>
        <w:rPr>
          <w:color w:val="231F20"/>
          <w:spacing w:val="-2"/>
          <w:sz w:val="21"/>
        </w:rPr>
        <w:t xml:space="preserve"> </w:t>
      </w:r>
      <w:r>
        <w:rPr>
          <w:color w:val="231F20"/>
          <w:sz w:val="21"/>
        </w:rPr>
        <w:t>1993)</w:t>
      </w:r>
    </w:p>
    <w:p w:rsidR="00CB574E" w:rsidRDefault="00CB574E" w:rsidP="00CB574E">
      <w:pPr>
        <w:pStyle w:val="ListParagraph"/>
        <w:numPr>
          <w:ilvl w:val="1"/>
          <w:numId w:val="2"/>
        </w:numPr>
        <w:tabs>
          <w:tab w:val="left" w:pos="791"/>
        </w:tabs>
        <w:rPr>
          <w:sz w:val="21"/>
        </w:rPr>
      </w:pPr>
      <w:r>
        <w:rPr>
          <w:color w:val="231F20"/>
          <w:sz w:val="21"/>
        </w:rPr>
        <w:t>The guiding beliefs and values evident in the way a school operates (</w:t>
      </w:r>
      <w:proofErr w:type="spellStart"/>
      <w:r>
        <w:rPr>
          <w:color w:val="231F20"/>
          <w:sz w:val="21"/>
        </w:rPr>
        <w:t>Fullan</w:t>
      </w:r>
      <w:proofErr w:type="spellEnd"/>
      <w:r>
        <w:rPr>
          <w:color w:val="231F20"/>
          <w:sz w:val="21"/>
        </w:rPr>
        <w:t>,</w:t>
      </w:r>
      <w:r>
        <w:rPr>
          <w:color w:val="231F20"/>
          <w:spacing w:val="-19"/>
          <w:sz w:val="21"/>
        </w:rPr>
        <w:t xml:space="preserve"> </w:t>
      </w:r>
      <w:r>
        <w:rPr>
          <w:color w:val="231F20"/>
          <w:sz w:val="21"/>
        </w:rPr>
        <w:t>2007)</w:t>
      </w:r>
    </w:p>
    <w:p w:rsidR="00CB574E" w:rsidRDefault="00CB574E" w:rsidP="00CB574E">
      <w:pPr>
        <w:pStyle w:val="ListParagraph"/>
        <w:numPr>
          <w:ilvl w:val="1"/>
          <w:numId w:val="2"/>
        </w:numPr>
        <w:tabs>
          <w:tab w:val="left" w:pos="791"/>
        </w:tabs>
        <w:spacing w:before="66" w:line="259" w:lineRule="auto"/>
        <w:ind w:right="1752"/>
        <w:rPr>
          <w:sz w:val="21"/>
        </w:rPr>
      </w:pPr>
      <w:r>
        <w:rPr>
          <w:color w:val="231F20"/>
          <w:sz w:val="21"/>
        </w:rPr>
        <w:t>The</w:t>
      </w:r>
      <w:r>
        <w:rPr>
          <w:color w:val="231F20"/>
          <w:spacing w:val="-3"/>
          <w:sz w:val="21"/>
        </w:rPr>
        <w:t xml:space="preserve"> </w:t>
      </w:r>
      <w:r>
        <w:rPr>
          <w:color w:val="231F20"/>
          <w:sz w:val="21"/>
        </w:rPr>
        <w:t>qualities</w:t>
      </w:r>
      <w:r>
        <w:rPr>
          <w:color w:val="231F20"/>
          <w:spacing w:val="-3"/>
          <w:sz w:val="21"/>
        </w:rPr>
        <w:t xml:space="preserve"> </w:t>
      </w:r>
      <w:r>
        <w:rPr>
          <w:color w:val="231F20"/>
          <w:sz w:val="21"/>
        </w:rPr>
        <w:t>of</w:t>
      </w:r>
      <w:r>
        <w:rPr>
          <w:color w:val="231F20"/>
          <w:spacing w:val="-4"/>
          <w:sz w:val="21"/>
        </w:rPr>
        <w:t xml:space="preserve"> </w:t>
      </w:r>
      <w:r>
        <w:rPr>
          <w:color w:val="231F20"/>
          <w:sz w:val="21"/>
        </w:rPr>
        <w:t>any</w:t>
      </w:r>
      <w:r>
        <w:rPr>
          <w:color w:val="231F20"/>
          <w:spacing w:val="-4"/>
          <w:sz w:val="21"/>
        </w:rPr>
        <w:t xml:space="preserve"> </w:t>
      </w:r>
      <w:r>
        <w:rPr>
          <w:color w:val="231F20"/>
          <w:sz w:val="21"/>
        </w:rPr>
        <w:t>specific</w:t>
      </w:r>
      <w:r>
        <w:rPr>
          <w:color w:val="231F20"/>
          <w:spacing w:val="-4"/>
          <w:sz w:val="21"/>
        </w:rPr>
        <w:t xml:space="preserve"> </w:t>
      </w:r>
      <w:r>
        <w:rPr>
          <w:color w:val="231F20"/>
          <w:sz w:val="21"/>
        </w:rPr>
        <w:t>human</w:t>
      </w:r>
      <w:r>
        <w:rPr>
          <w:color w:val="231F20"/>
          <w:spacing w:val="-4"/>
          <w:sz w:val="21"/>
        </w:rPr>
        <w:t xml:space="preserve"> </w:t>
      </w:r>
      <w:r>
        <w:rPr>
          <w:color w:val="231F20"/>
          <w:sz w:val="21"/>
        </w:rPr>
        <w:t>group</w:t>
      </w:r>
      <w:r>
        <w:rPr>
          <w:color w:val="231F20"/>
          <w:spacing w:val="-4"/>
          <w:sz w:val="21"/>
        </w:rPr>
        <w:t xml:space="preserve"> </w:t>
      </w:r>
      <w:r>
        <w:rPr>
          <w:color w:val="231F20"/>
          <w:sz w:val="21"/>
        </w:rPr>
        <w:t>that</w:t>
      </w:r>
      <w:r>
        <w:rPr>
          <w:color w:val="231F20"/>
          <w:spacing w:val="-3"/>
          <w:sz w:val="21"/>
        </w:rPr>
        <w:t xml:space="preserve"> </w:t>
      </w:r>
      <w:r>
        <w:rPr>
          <w:color w:val="231F20"/>
          <w:sz w:val="21"/>
        </w:rPr>
        <w:t>are</w:t>
      </w:r>
      <w:r>
        <w:rPr>
          <w:color w:val="231F20"/>
          <w:spacing w:val="-4"/>
          <w:sz w:val="21"/>
        </w:rPr>
        <w:t xml:space="preserve"> </w:t>
      </w:r>
      <w:r>
        <w:rPr>
          <w:color w:val="231F20"/>
          <w:sz w:val="21"/>
        </w:rPr>
        <w:t>passed</w:t>
      </w:r>
      <w:r>
        <w:rPr>
          <w:color w:val="231F20"/>
          <w:spacing w:val="-4"/>
          <w:sz w:val="21"/>
        </w:rPr>
        <w:t xml:space="preserve"> </w:t>
      </w:r>
      <w:r>
        <w:rPr>
          <w:color w:val="231F20"/>
          <w:sz w:val="21"/>
        </w:rPr>
        <w:t>from</w:t>
      </w:r>
      <w:r>
        <w:rPr>
          <w:color w:val="231F20"/>
          <w:spacing w:val="-3"/>
          <w:sz w:val="21"/>
        </w:rPr>
        <w:t xml:space="preserve"> </w:t>
      </w:r>
      <w:r>
        <w:rPr>
          <w:color w:val="231F20"/>
          <w:sz w:val="21"/>
        </w:rPr>
        <w:t>one</w:t>
      </w:r>
      <w:r>
        <w:rPr>
          <w:color w:val="231F20"/>
          <w:spacing w:val="-4"/>
          <w:sz w:val="21"/>
        </w:rPr>
        <w:t xml:space="preserve"> </w:t>
      </w:r>
      <w:r>
        <w:rPr>
          <w:color w:val="231F20"/>
          <w:sz w:val="21"/>
        </w:rPr>
        <w:t>generation</w:t>
      </w:r>
      <w:r>
        <w:rPr>
          <w:color w:val="231F20"/>
          <w:spacing w:val="-4"/>
          <w:sz w:val="21"/>
        </w:rPr>
        <w:t xml:space="preserve"> </w:t>
      </w:r>
      <w:r>
        <w:rPr>
          <w:color w:val="231F20"/>
          <w:sz w:val="21"/>
        </w:rPr>
        <w:t>to</w:t>
      </w:r>
      <w:r>
        <w:rPr>
          <w:color w:val="231F20"/>
          <w:spacing w:val="-3"/>
          <w:sz w:val="21"/>
        </w:rPr>
        <w:t xml:space="preserve"> </w:t>
      </w:r>
      <w:r>
        <w:rPr>
          <w:color w:val="231F20"/>
          <w:sz w:val="21"/>
        </w:rPr>
        <w:t>the</w:t>
      </w:r>
      <w:r>
        <w:rPr>
          <w:color w:val="231F20"/>
          <w:spacing w:val="-3"/>
          <w:sz w:val="21"/>
        </w:rPr>
        <w:t xml:space="preserve"> </w:t>
      </w:r>
      <w:r>
        <w:rPr>
          <w:color w:val="231F20"/>
          <w:sz w:val="21"/>
        </w:rPr>
        <w:t xml:space="preserve">next. (Kotter &amp; </w:t>
      </w:r>
      <w:proofErr w:type="spellStart"/>
      <w:r>
        <w:rPr>
          <w:color w:val="231F20"/>
          <w:sz w:val="21"/>
        </w:rPr>
        <w:t>Heskett</w:t>
      </w:r>
      <w:proofErr w:type="spellEnd"/>
      <w:r>
        <w:rPr>
          <w:color w:val="231F20"/>
          <w:sz w:val="21"/>
        </w:rPr>
        <w:t>,</w:t>
      </w:r>
      <w:r>
        <w:rPr>
          <w:color w:val="231F20"/>
          <w:spacing w:val="-2"/>
          <w:sz w:val="21"/>
        </w:rPr>
        <w:t xml:space="preserve"> </w:t>
      </w:r>
      <w:r>
        <w:rPr>
          <w:color w:val="231F20"/>
          <w:sz w:val="21"/>
        </w:rPr>
        <w:t>1992)</w:t>
      </w:r>
    </w:p>
    <w:p w:rsidR="00CB574E" w:rsidRDefault="00CB574E" w:rsidP="00CB574E">
      <w:pPr>
        <w:pStyle w:val="ListParagraph"/>
        <w:numPr>
          <w:ilvl w:val="1"/>
          <w:numId w:val="2"/>
        </w:numPr>
        <w:tabs>
          <w:tab w:val="left" w:pos="791"/>
        </w:tabs>
        <w:spacing w:line="259" w:lineRule="auto"/>
        <w:ind w:right="2429"/>
        <w:rPr>
          <w:sz w:val="21"/>
        </w:rPr>
      </w:pPr>
      <w:r>
        <w:rPr>
          <w:color w:val="231F20"/>
          <w:sz w:val="21"/>
        </w:rPr>
        <w:t>A</w:t>
      </w:r>
      <w:r>
        <w:rPr>
          <w:color w:val="231F20"/>
          <w:spacing w:val="-14"/>
          <w:sz w:val="21"/>
        </w:rPr>
        <w:t xml:space="preserve"> </w:t>
      </w:r>
      <w:r>
        <w:rPr>
          <w:color w:val="231F20"/>
          <w:sz w:val="21"/>
        </w:rPr>
        <w:t>system</w:t>
      </w:r>
      <w:r>
        <w:rPr>
          <w:color w:val="231F20"/>
          <w:spacing w:val="-2"/>
          <w:sz w:val="21"/>
        </w:rPr>
        <w:t xml:space="preserve"> </w:t>
      </w:r>
      <w:r>
        <w:rPr>
          <w:color w:val="231F20"/>
          <w:sz w:val="21"/>
        </w:rPr>
        <w:t>of</w:t>
      </w:r>
      <w:r>
        <w:rPr>
          <w:color w:val="231F20"/>
          <w:spacing w:val="-3"/>
          <w:sz w:val="21"/>
        </w:rPr>
        <w:t xml:space="preserve"> </w:t>
      </w:r>
      <w:r>
        <w:rPr>
          <w:color w:val="231F20"/>
          <w:sz w:val="21"/>
        </w:rPr>
        <w:t>informal</w:t>
      </w:r>
      <w:r>
        <w:rPr>
          <w:color w:val="231F20"/>
          <w:spacing w:val="-3"/>
          <w:sz w:val="21"/>
        </w:rPr>
        <w:t xml:space="preserve"> </w:t>
      </w:r>
      <w:r>
        <w:rPr>
          <w:color w:val="231F20"/>
          <w:sz w:val="21"/>
        </w:rPr>
        <w:t>rules</w:t>
      </w:r>
      <w:r>
        <w:rPr>
          <w:color w:val="231F20"/>
          <w:spacing w:val="-2"/>
          <w:sz w:val="21"/>
        </w:rPr>
        <w:t xml:space="preserve"> </w:t>
      </w:r>
      <w:r>
        <w:rPr>
          <w:color w:val="231F20"/>
          <w:sz w:val="21"/>
        </w:rPr>
        <w:t>that</w:t>
      </w:r>
      <w:r>
        <w:rPr>
          <w:color w:val="231F20"/>
          <w:spacing w:val="-2"/>
          <w:sz w:val="21"/>
        </w:rPr>
        <w:t xml:space="preserve"> </w:t>
      </w:r>
      <w:r>
        <w:rPr>
          <w:color w:val="231F20"/>
          <w:sz w:val="21"/>
        </w:rPr>
        <w:t>spell</w:t>
      </w:r>
      <w:r>
        <w:rPr>
          <w:color w:val="231F20"/>
          <w:spacing w:val="-2"/>
          <w:sz w:val="21"/>
        </w:rPr>
        <w:t xml:space="preserve"> </w:t>
      </w:r>
      <w:r>
        <w:rPr>
          <w:color w:val="231F20"/>
          <w:sz w:val="21"/>
        </w:rPr>
        <w:t>out</w:t>
      </w:r>
      <w:r>
        <w:rPr>
          <w:color w:val="231F20"/>
          <w:spacing w:val="-3"/>
          <w:sz w:val="21"/>
        </w:rPr>
        <w:t xml:space="preserve"> </w:t>
      </w:r>
      <w:r>
        <w:rPr>
          <w:color w:val="231F20"/>
          <w:sz w:val="21"/>
        </w:rPr>
        <w:t>how</w:t>
      </w:r>
      <w:r>
        <w:rPr>
          <w:color w:val="231F20"/>
          <w:spacing w:val="-3"/>
          <w:sz w:val="21"/>
        </w:rPr>
        <w:t xml:space="preserve"> </w:t>
      </w:r>
      <w:r>
        <w:rPr>
          <w:color w:val="231F20"/>
          <w:sz w:val="21"/>
        </w:rPr>
        <w:t>people</w:t>
      </w:r>
      <w:r>
        <w:rPr>
          <w:color w:val="231F20"/>
          <w:spacing w:val="-3"/>
          <w:sz w:val="21"/>
        </w:rPr>
        <w:t xml:space="preserve"> </w:t>
      </w:r>
      <w:r>
        <w:rPr>
          <w:color w:val="231F20"/>
          <w:sz w:val="21"/>
        </w:rPr>
        <w:t>are</w:t>
      </w:r>
      <w:r>
        <w:rPr>
          <w:color w:val="231F20"/>
          <w:spacing w:val="-3"/>
          <w:sz w:val="21"/>
        </w:rPr>
        <w:t xml:space="preserve"> </w:t>
      </w:r>
      <w:r>
        <w:rPr>
          <w:color w:val="231F20"/>
          <w:sz w:val="21"/>
        </w:rPr>
        <w:t>to</w:t>
      </w:r>
      <w:r>
        <w:rPr>
          <w:color w:val="231F20"/>
          <w:spacing w:val="-2"/>
          <w:sz w:val="21"/>
        </w:rPr>
        <w:t xml:space="preserve"> </w:t>
      </w:r>
      <w:r>
        <w:rPr>
          <w:color w:val="231F20"/>
          <w:sz w:val="21"/>
        </w:rPr>
        <w:t>behave</w:t>
      </w:r>
      <w:r>
        <w:rPr>
          <w:color w:val="231F20"/>
          <w:spacing w:val="-3"/>
          <w:sz w:val="21"/>
        </w:rPr>
        <w:t xml:space="preserve"> </w:t>
      </w:r>
      <w:r>
        <w:rPr>
          <w:color w:val="231F20"/>
          <w:sz w:val="21"/>
        </w:rPr>
        <w:t>most</w:t>
      </w:r>
      <w:r>
        <w:rPr>
          <w:color w:val="231F20"/>
          <w:spacing w:val="-2"/>
          <w:sz w:val="21"/>
        </w:rPr>
        <w:t xml:space="preserve"> </w:t>
      </w:r>
      <w:r>
        <w:rPr>
          <w:color w:val="231F20"/>
          <w:sz w:val="21"/>
        </w:rPr>
        <w:t>of</w:t>
      </w:r>
      <w:r>
        <w:rPr>
          <w:color w:val="231F20"/>
          <w:spacing w:val="-3"/>
          <w:sz w:val="21"/>
        </w:rPr>
        <w:t xml:space="preserve"> </w:t>
      </w:r>
      <w:r>
        <w:rPr>
          <w:color w:val="231F20"/>
          <w:sz w:val="21"/>
        </w:rPr>
        <w:t>the</w:t>
      </w:r>
      <w:r>
        <w:rPr>
          <w:color w:val="231F20"/>
          <w:spacing w:val="-2"/>
          <w:sz w:val="21"/>
        </w:rPr>
        <w:t xml:space="preserve"> </w:t>
      </w:r>
      <w:r>
        <w:rPr>
          <w:color w:val="231F20"/>
          <w:sz w:val="21"/>
        </w:rPr>
        <w:t>time. (Deal &amp; Kennedy,</w:t>
      </w:r>
      <w:r>
        <w:rPr>
          <w:color w:val="231F20"/>
          <w:spacing w:val="-1"/>
          <w:sz w:val="21"/>
        </w:rPr>
        <w:t xml:space="preserve"> </w:t>
      </w:r>
      <w:r>
        <w:rPr>
          <w:color w:val="231F20"/>
          <w:sz w:val="21"/>
        </w:rPr>
        <w:t>1982)</w:t>
      </w:r>
    </w:p>
    <w:p w:rsidR="00CB574E" w:rsidRDefault="00CB574E" w:rsidP="00CB574E">
      <w:pPr>
        <w:pStyle w:val="ListParagraph"/>
        <w:numPr>
          <w:ilvl w:val="1"/>
          <w:numId w:val="2"/>
        </w:numPr>
        <w:tabs>
          <w:tab w:val="left" w:pos="791"/>
        </w:tabs>
        <w:rPr>
          <w:sz w:val="21"/>
        </w:rPr>
      </w:pPr>
      <w:r>
        <w:rPr>
          <w:color w:val="231F20"/>
          <w:sz w:val="21"/>
        </w:rPr>
        <w:t>The way we do things around here. (Bower,</w:t>
      </w:r>
      <w:r>
        <w:rPr>
          <w:color w:val="231F20"/>
          <w:spacing w:val="-7"/>
          <w:sz w:val="21"/>
        </w:rPr>
        <w:t xml:space="preserve"> </w:t>
      </w:r>
      <w:r>
        <w:rPr>
          <w:color w:val="231F20"/>
          <w:sz w:val="21"/>
        </w:rPr>
        <w:t>1966)</w:t>
      </w:r>
    </w:p>
    <w:p w:rsidR="00CB574E" w:rsidRDefault="00CB574E" w:rsidP="00CB574E">
      <w:pPr>
        <w:pStyle w:val="BodyText"/>
        <w:spacing w:before="3"/>
        <w:rPr>
          <w:sz w:val="17"/>
        </w:rPr>
      </w:pPr>
    </w:p>
    <w:p w:rsidR="00CB574E" w:rsidRDefault="00CB574E" w:rsidP="00CB574E">
      <w:pPr>
        <w:pStyle w:val="BodyText"/>
        <w:spacing w:line="259" w:lineRule="auto"/>
        <w:ind w:left="160" w:right="1255"/>
      </w:pPr>
      <w:r>
        <w:rPr>
          <w:color w:val="231F20"/>
        </w:rPr>
        <w:t>The culture of a school plays an essential role in improving performance. Positive culture can infuse work with meaning, passion, and purpose (Deal &amp; Peterson, 1999). A positive school culture is associated with more rapid and lasting school improvement, higher teacher motivation, greater teacher collaboration, more application of professional development skills, reduced absenteeism, and higher levels of adult and student learning (</w:t>
      </w:r>
      <w:proofErr w:type="spellStart"/>
      <w:r>
        <w:rPr>
          <w:color w:val="231F20"/>
        </w:rPr>
        <w:t>Hofsteade</w:t>
      </w:r>
      <w:proofErr w:type="spellEnd"/>
      <w:r>
        <w:rPr>
          <w:color w:val="231F20"/>
        </w:rPr>
        <w:t xml:space="preserve">, 2005; </w:t>
      </w:r>
      <w:proofErr w:type="spellStart"/>
      <w:r>
        <w:rPr>
          <w:color w:val="231F20"/>
        </w:rPr>
        <w:t>Fullan</w:t>
      </w:r>
      <w:proofErr w:type="spellEnd"/>
      <w:r>
        <w:rPr>
          <w:color w:val="231F20"/>
        </w:rPr>
        <w:t>, 2007; Deal &amp; Peterson, 2009).</w:t>
      </w:r>
    </w:p>
    <w:p w:rsidR="00CB574E" w:rsidRDefault="00EB5001" w:rsidP="00CB574E">
      <w:pPr>
        <w:spacing w:before="176" w:line="259" w:lineRule="auto"/>
        <w:ind w:left="160" w:right="1711"/>
        <w:rPr>
          <w:sz w:val="21"/>
        </w:rPr>
      </w:pPr>
      <w:r>
        <w:rPr>
          <w:color w:val="231F20"/>
          <w:sz w:val="21"/>
        </w:rPr>
        <w:t>Effective school principals</w:t>
      </w:r>
    </w:p>
    <w:p w:rsidR="00CB574E" w:rsidRDefault="00EB5001" w:rsidP="00CB574E">
      <w:pPr>
        <w:pStyle w:val="ListParagraph"/>
        <w:numPr>
          <w:ilvl w:val="0"/>
          <w:numId w:val="1"/>
        </w:numPr>
        <w:tabs>
          <w:tab w:val="left" w:pos="791"/>
        </w:tabs>
        <w:spacing w:before="178" w:line="259" w:lineRule="auto"/>
        <w:ind w:right="1181"/>
        <w:rPr>
          <w:sz w:val="21"/>
        </w:rPr>
      </w:pPr>
      <w:r>
        <w:rPr>
          <w:color w:val="231F20"/>
          <w:sz w:val="21"/>
        </w:rPr>
        <w:t>g</w:t>
      </w:r>
      <w:r w:rsidR="00CB574E">
        <w:rPr>
          <w:color w:val="231F20"/>
          <w:sz w:val="21"/>
        </w:rPr>
        <w:t>ain</w:t>
      </w:r>
      <w:r w:rsidR="00CB574E">
        <w:rPr>
          <w:color w:val="231F20"/>
          <w:spacing w:val="-4"/>
          <w:sz w:val="21"/>
        </w:rPr>
        <w:t xml:space="preserve"> </w:t>
      </w:r>
      <w:r w:rsidR="00CB574E">
        <w:rPr>
          <w:color w:val="231F20"/>
          <w:sz w:val="21"/>
        </w:rPr>
        <w:t>a</w:t>
      </w:r>
      <w:r w:rsidR="00CB574E">
        <w:rPr>
          <w:color w:val="231F20"/>
          <w:spacing w:val="-5"/>
          <w:sz w:val="21"/>
        </w:rPr>
        <w:t xml:space="preserve"> </w:t>
      </w:r>
      <w:r w:rsidR="00CB574E">
        <w:rPr>
          <w:color w:val="231F20"/>
          <w:sz w:val="21"/>
        </w:rPr>
        <w:t>clearer</w:t>
      </w:r>
      <w:r w:rsidR="00CB574E">
        <w:rPr>
          <w:color w:val="231F20"/>
          <w:spacing w:val="-4"/>
          <w:sz w:val="21"/>
        </w:rPr>
        <w:t xml:space="preserve"> </w:t>
      </w:r>
      <w:r w:rsidR="00CB574E">
        <w:rPr>
          <w:color w:val="231F20"/>
          <w:sz w:val="21"/>
        </w:rPr>
        <w:t>understanding</w:t>
      </w:r>
      <w:r w:rsidR="00CB574E">
        <w:rPr>
          <w:color w:val="231F20"/>
          <w:spacing w:val="-5"/>
          <w:sz w:val="21"/>
        </w:rPr>
        <w:t xml:space="preserve"> </w:t>
      </w:r>
      <w:r w:rsidR="00CB574E">
        <w:rPr>
          <w:color w:val="231F20"/>
          <w:sz w:val="21"/>
        </w:rPr>
        <w:t>of</w:t>
      </w:r>
      <w:r w:rsidR="00CB574E">
        <w:rPr>
          <w:color w:val="231F20"/>
          <w:spacing w:val="-5"/>
          <w:sz w:val="21"/>
        </w:rPr>
        <w:t xml:space="preserve"> </w:t>
      </w:r>
      <w:r w:rsidR="00CB574E">
        <w:rPr>
          <w:color w:val="231F20"/>
          <w:sz w:val="21"/>
        </w:rPr>
        <w:t>the</w:t>
      </w:r>
      <w:r w:rsidR="00CB574E">
        <w:rPr>
          <w:color w:val="231F20"/>
          <w:spacing w:val="-4"/>
          <w:sz w:val="21"/>
        </w:rPr>
        <w:t xml:space="preserve"> </w:t>
      </w:r>
      <w:r w:rsidR="00CB574E">
        <w:rPr>
          <w:color w:val="231F20"/>
          <w:sz w:val="21"/>
        </w:rPr>
        <w:t>nature</w:t>
      </w:r>
      <w:r w:rsidR="00CB574E">
        <w:rPr>
          <w:color w:val="231F20"/>
          <w:spacing w:val="-5"/>
          <w:sz w:val="21"/>
        </w:rPr>
        <w:t xml:space="preserve"> </w:t>
      </w:r>
      <w:r w:rsidR="00CB574E">
        <w:rPr>
          <w:color w:val="231F20"/>
          <w:sz w:val="21"/>
        </w:rPr>
        <w:t>and</w:t>
      </w:r>
      <w:r w:rsidR="00CB574E">
        <w:rPr>
          <w:color w:val="231F20"/>
          <w:spacing w:val="-5"/>
          <w:sz w:val="21"/>
        </w:rPr>
        <w:t xml:space="preserve"> </w:t>
      </w:r>
      <w:r w:rsidR="00CB574E">
        <w:rPr>
          <w:color w:val="231F20"/>
          <w:sz w:val="21"/>
        </w:rPr>
        <w:t>power</w:t>
      </w:r>
      <w:r w:rsidR="00CB574E">
        <w:rPr>
          <w:color w:val="231F20"/>
          <w:spacing w:val="-5"/>
          <w:sz w:val="21"/>
        </w:rPr>
        <w:t xml:space="preserve"> </w:t>
      </w:r>
      <w:r w:rsidR="00CB574E">
        <w:rPr>
          <w:color w:val="231F20"/>
          <w:sz w:val="21"/>
        </w:rPr>
        <w:t>of</w:t>
      </w:r>
      <w:r w:rsidR="00CB574E">
        <w:rPr>
          <w:color w:val="231F20"/>
          <w:spacing w:val="-5"/>
          <w:sz w:val="21"/>
        </w:rPr>
        <w:t xml:space="preserve"> </w:t>
      </w:r>
      <w:r w:rsidR="00CB574E">
        <w:rPr>
          <w:color w:val="231F20"/>
          <w:sz w:val="21"/>
        </w:rPr>
        <w:t>school</w:t>
      </w:r>
      <w:r w:rsidR="00CB574E">
        <w:rPr>
          <w:color w:val="231F20"/>
          <w:spacing w:val="-4"/>
          <w:sz w:val="21"/>
        </w:rPr>
        <w:t xml:space="preserve"> </w:t>
      </w:r>
      <w:r w:rsidR="00CB574E">
        <w:rPr>
          <w:color w:val="231F20"/>
          <w:sz w:val="21"/>
        </w:rPr>
        <w:t>culture</w:t>
      </w:r>
      <w:r w:rsidR="00CB574E">
        <w:rPr>
          <w:color w:val="231F20"/>
          <w:spacing w:val="-4"/>
          <w:sz w:val="21"/>
        </w:rPr>
        <w:t xml:space="preserve"> </w:t>
      </w:r>
      <w:r w:rsidR="00CB574E">
        <w:rPr>
          <w:color w:val="231F20"/>
          <w:sz w:val="21"/>
        </w:rPr>
        <w:t>by</w:t>
      </w:r>
      <w:r w:rsidR="00CB574E">
        <w:rPr>
          <w:color w:val="231F20"/>
          <w:spacing w:val="-5"/>
          <w:sz w:val="21"/>
        </w:rPr>
        <w:t xml:space="preserve"> </w:t>
      </w:r>
      <w:r w:rsidR="00CB574E">
        <w:rPr>
          <w:color w:val="231F20"/>
          <w:sz w:val="21"/>
        </w:rPr>
        <w:t>identifying,</w:t>
      </w:r>
      <w:r w:rsidR="00CB574E">
        <w:rPr>
          <w:color w:val="231F20"/>
          <w:spacing w:val="-5"/>
          <w:sz w:val="21"/>
        </w:rPr>
        <w:t xml:space="preserve"> </w:t>
      </w:r>
      <w:r w:rsidR="00CB574E">
        <w:rPr>
          <w:color w:val="231F20"/>
          <w:sz w:val="21"/>
        </w:rPr>
        <w:t>describing, and analyzing powerful non-school organizational</w:t>
      </w:r>
      <w:r w:rsidR="00CB574E">
        <w:rPr>
          <w:color w:val="231F20"/>
          <w:spacing w:val="-8"/>
          <w:sz w:val="21"/>
        </w:rPr>
        <w:t xml:space="preserve"> </w:t>
      </w:r>
      <w:r>
        <w:rPr>
          <w:color w:val="231F20"/>
          <w:sz w:val="21"/>
        </w:rPr>
        <w:t>cultures;</w:t>
      </w:r>
    </w:p>
    <w:p w:rsidR="00CB574E" w:rsidRDefault="00CB574E" w:rsidP="00CB574E">
      <w:pPr>
        <w:pStyle w:val="ListParagraph"/>
        <w:numPr>
          <w:ilvl w:val="0"/>
          <w:numId w:val="1"/>
        </w:numPr>
        <w:tabs>
          <w:tab w:val="left" w:pos="791"/>
        </w:tabs>
        <w:spacing w:line="259" w:lineRule="auto"/>
        <w:ind w:right="1088"/>
        <w:rPr>
          <w:sz w:val="21"/>
        </w:rPr>
      </w:pPr>
      <w:r>
        <w:rPr>
          <w:color w:val="231F20"/>
          <w:sz w:val="21"/>
        </w:rPr>
        <w:t>understand,</w:t>
      </w:r>
      <w:r>
        <w:rPr>
          <w:color w:val="231F20"/>
          <w:spacing w:val="-5"/>
          <w:sz w:val="21"/>
        </w:rPr>
        <w:t xml:space="preserve"> </w:t>
      </w:r>
      <w:r>
        <w:rPr>
          <w:color w:val="231F20"/>
          <w:sz w:val="21"/>
        </w:rPr>
        <w:t>read,</w:t>
      </w:r>
      <w:r>
        <w:rPr>
          <w:color w:val="231F20"/>
          <w:spacing w:val="-4"/>
          <w:sz w:val="21"/>
        </w:rPr>
        <w:t xml:space="preserve"> </w:t>
      </w:r>
      <w:r>
        <w:rPr>
          <w:color w:val="231F20"/>
          <w:sz w:val="21"/>
        </w:rPr>
        <w:t>and</w:t>
      </w:r>
      <w:r>
        <w:rPr>
          <w:color w:val="231F20"/>
          <w:spacing w:val="-5"/>
          <w:sz w:val="21"/>
        </w:rPr>
        <w:t xml:space="preserve"> </w:t>
      </w:r>
      <w:r>
        <w:rPr>
          <w:color w:val="231F20"/>
          <w:sz w:val="21"/>
        </w:rPr>
        <w:t>assess</w:t>
      </w:r>
      <w:r>
        <w:rPr>
          <w:color w:val="231F20"/>
          <w:spacing w:val="-5"/>
          <w:sz w:val="21"/>
        </w:rPr>
        <w:t xml:space="preserve"> </w:t>
      </w:r>
      <w:r>
        <w:rPr>
          <w:color w:val="231F20"/>
          <w:sz w:val="21"/>
        </w:rPr>
        <w:t>current</w:t>
      </w:r>
      <w:r>
        <w:rPr>
          <w:color w:val="231F20"/>
          <w:spacing w:val="-4"/>
          <w:sz w:val="21"/>
        </w:rPr>
        <w:t xml:space="preserve"> </w:t>
      </w:r>
      <w:r>
        <w:rPr>
          <w:color w:val="231F20"/>
          <w:sz w:val="21"/>
        </w:rPr>
        <w:t>school</w:t>
      </w:r>
      <w:r>
        <w:rPr>
          <w:color w:val="231F20"/>
          <w:spacing w:val="-4"/>
          <w:sz w:val="21"/>
        </w:rPr>
        <w:t xml:space="preserve"> </w:t>
      </w:r>
      <w:r>
        <w:rPr>
          <w:color w:val="231F20"/>
          <w:sz w:val="21"/>
        </w:rPr>
        <w:t>culture</w:t>
      </w:r>
      <w:r>
        <w:rPr>
          <w:color w:val="231F20"/>
          <w:spacing w:val="-4"/>
          <w:sz w:val="21"/>
        </w:rPr>
        <w:t xml:space="preserve"> </w:t>
      </w:r>
      <w:r>
        <w:rPr>
          <w:color w:val="231F20"/>
          <w:sz w:val="21"/>
        </w:rPr>
        <w:t>by</w:t>
      </w:r>
      <w:r>
        <w:rPr>
          <w:color w:val="231F20"/>
          <w:spacing w:val="-5"/>
          <w:sz w:val="21"/>
        </w:rPr>
        <w:t xml:space="preserve"> </w:t>
      </w:r>
      <w:r>
        <w:rPr>
          <w:color w:val="231F20"/>
          <w:sz w:val="21"/>
        </w:rPr>
        <w:t>applying</w:t>
      </w:r>
      <w:r>
        <w:rPr>
          <w:color w:val="231F20"/>
          <w:spacing w:val="-5"/>
          <w:sz w:val="21"/>
        </w:rPr>
        <w:t xml:space="preserve"> </w:t>
      </w:r>
      <w:r>
        <w:rPr>
          <w:color w:val="231F20"/>
          <w:sz w:val="21"/>
        </w:rPr>
        <w:t>culture assessment</w:t>
      </w:r>
      <w:r>
        <w:rPr>
          <w:color w:val="231F20"/>
          <w:spacing w:val="-2"/>
          <w:sz w:val="21"/>
        </w:rPr>
        <w:t xml:space="preserve"> </w:t>
      </w:r>
      <w:r w:rsidR="00EB5001">
        <w:rPr>
          <w:color w:val="231F20"/>
          <w:sz w:val="21"/>
        </w:rPr>
        <w:t>criteria;</w:t>
      </w:r>
    </w:p>
    <w:p w:rsidR="00CB574E" w:rsidRDefault="00EB5001" w:rsidP="00CB574E">
      <w:pPr>
        <w:pStyle w:val="ListParagraph"/>
        <w:numPr>
          <w:ilvl w:val="0"/>
          <w:numId w:val="1"/>
        </w:numPr>
        <w:tabs>
          <w:tab w:val="left" w:pos="791"/>
        </w:tabs>
        <w:spacing w:before="46" w:line="259" w:lineRule="auto"/>
        <w:ind w:right="1449"/>
        <w:rPr>
          <w:sz w:val="21"/>
        </w:rPr>
      </w:pPr>
      <w:r>
        <w:rPr>
          <w:color w:val="231F20"/>
          <w:sz w:val="21"/>
        </w:rPr>
        <w:t>u</w:t>
      </w:r>
      <w:r w:rsidR="00CB574E">
        <w:rPr>
          <w:color w:val="231F20"/>
          <w:sz w:val="21"/>
        </w:rPr>
        <w:t xml:space="preserve">nderstand elements of culture such as heroes, stories, myths, traditions, </w:t>
      </w:r>
      <w:r w:rsidR="00CB574E">
        <w:rPr>
          <w:color w:val="231F20"/>
          <w:sz w:val="21"/>
        </w:rPr>
        <w:lastRenderedPageBreak/>
        <w:t>rituals, ceremonies, symbols, and signs, which have, over time, shaped the current school</w:t>
      </w:r>
      <w:r w:rsidR="00CB574E">
        <w:rPr>
          <w:color w:val="231F20"/>
          <w:spacing w:val="-8"/>
          <w:sz w:val="21"/>
        </w:rPr>
        <w:t xml:space="preserve"> </w:t>
      </w:r>
      <w:r>
        <w:rPr>
          <w:color w:val="231F20"/>
          <w:sz w:val="21"/>
        </w:rPr>
        <w:t>culture; and</w:t>
      </w:r>
    </w:p>
    <w:p w:rsidR="00CB574E" w:rsidRDefault="00EB5001" w:rsidP="00CB574E">
      <w:pPr>
        <w:pStyle w:val="ListParagraph"/>
        <w:numPr>
          <w:ilvl w:val="0"/>
          <w:numId w:val="1"/>
        </w:numPr>
        <w:tabs>
          <w:tab w:val="left" w:pos="791"/>
        </w:tabs>
        <w:rPr>
          <w:sz w:val="21"/>
        </w:rPr>
      </w:pPr>
      <w:proofErr w:type="gramStart"/>
      <w:r>
        <w:rPr>
          <w:color w:val="231F20"/>
          <w:sz w:val="21"/>
        </w:rPr>
        <w:t>a</w:t>
      </w:r>
      <w:r w:rsidR="00CB574E">
        <w:rPr>
          <w:color w:val="231F20"/>
          <w:sz w:val="21"/>
        </w:rPr>
        <w:t>ssess</w:t>
      </w:r>
      <w:proofErr w:type="gramEnd"/>
      <w:r w:rsidR="00CB574E">
        <w:rPr>
          <w:color w:val="231F20"/>
          <w:sz w:val="21"/>
        </w:rPr>
        <w:t xml:space="preserve"> and improve aspects of personal and organizational</w:t>
      </w:r>
      <w:r w:rsidR="00CB574E">
        <w:rPr>
          <w:color w:val="231F20"/>
          <w:spacing w:val="-10"/>
          <w:sz w:val="21"/>
        </w:rPr>
        <w:t xml:space="preserve"> </w:t>
      </w:r>
      <w:r w:rsidR="00CB574E">
        <w:rPr>
          <w:color w:val="231F20"/>
          <w:sz w:val="21"/>
        </w:rPr>
        <w:t>trust.</w:t>
      </w:r>
    </w:p>
    <w:p w:rsidR="00242EB2" w:rsidRDefault="00242EB2">
      <w:bookmarkStart w:id="0" w:name="_GoBack"/>
      <w:bookmarkEnd w:id="0"/>
    </w:p>
    <w:sectPr w:rsidR="00242EB2" w:rsidSect="00EB50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07DDE"/>
    <w:multiLevelType w:val="hybridMultilevel"/>
    <w:tmpl w:val="E46CA698"/>
    <w:lvl w:ilvl="0" w:tplc="C83C3C74">
      <w:numFmt w:val="bullet"/>
      <w:lvlText w:val="—"/>
      <w:lvlJc w:val="left"/>
      <w:pPr>
        <w:ind w:left="159" w:hanging="269"/>
      </w:pPr>
      <w:rPr>
        <w:rFonts w:ascii="Arial" w:eastAsia="Arial" w:hAnsi="Arial" w:cs="Arial" w:hint="default"/>
        <w:color w:val="231F20"/>
        <w:spacing w:val="-12"/>
        <w:w w:val="100"/>
        <w:sz w:val="21"/>
        <w:szCs w:val="21"/>
        <w:lang w:val="en-US" w:eastAsia="en-US" w:bidi="en-US"/>
      </w:rPr>
    </w:lvl>
    <w:lvl w:ilvl="1" w:tplc="8ABA74BC">
      <w:numFmt w:val="bullet"/>
      <w:lvlText w:val="•"/>
      <w:lvlJc w:val="left"/>
      <w:pPr>
        <w:ind w:left="790" w:hanging="260"/>
      </w:pPr>
      <w:rPr>
        <w:rFonts w:ascii="Arial" w:eastAsia="Arial" w:hAnsi="Arial" w:cs="Arial" w:hint="default"/>
        <w:color w:val="231F20"/>
        <w:spacing w:val="-1"/>
        <w:w w:val="100"/>
        <w:sz w:val="21"/>
        <w:szCs w:val="21"/>
        <w:lang w:val="en-US" w:eastAsia="en-US" w:bidi="en-US"/>
      </w:rPr>
    </w:lvl>
    <w:lvl w:ilvl="2" w:tplc="BEE0341E">
      <w:numFmt w:val="bullet"/>
      <w:lvlText w:val="•"/>
      <w:lvlJc w:val="left"/>
      <w:pPr>
        <w:ind w:left="1928" w:hanging="260"/>
      </w:pPr>
      <w:rPr>
        <w:rFonts w:hint="default"/>
        <w:lang w:val="en-US" w:eastAsia="en-US" w:bidi="en-US"/>
      </w:rPr>
    </w:lvl>
    <w:lvl w:ilvl="3" w:tplc="C5C6EE16">
      <w:numFmt w:val="bullet"/>
      <w:lvlText w:val="•"/>
      <w:lvlJc w:val="left"/>
      <w:pPr>
        <w:ind w:left="3057" w:hanging="260"/>
      </w:pPr>
      <w:rPr>
        <w:rFonts w:hint="default"/>
        <w:lang w:val="en-US" w:eastAsia="en-US" w:bidi="en-US"/>
      </w:rPr>
    </w:lvl>
    <w:lvl w:ilvl="4" w:tplc="64AEE1CE">
      <w:numFmt w:val="bullet"/>
      <w:lvlText w:val="•"/>
      <w:lvlJc w:val="left"/>
      <w:pPr>
        <w:ind w:left="4186" w:hanging="260"/>
      </w:pPr>
      <w:rPr>
        <w:rFonts w:hint="default"/>
        <w:lang w:val="en-US" w:eastAsia="en-US" w:bidi="en-US"/>
      </w:rPr>
    </w:lvl>
    <w:lvl w:ilvl="5" w:tplc="42343752">
      <w:numFmt w:val="bullet"/>
      <w:lvlText w:val="•"/>
      <w:lvlJc w:val="left"/>
      <w:pPr>
        <w:ind w:left="5315" w:hanging="260"/>
      </w:pPr>
      <w:rPr>
        <w:rFonts w:hint="default"/>
        <w:lang w:val="en-US" w:eastAsia="en-US" w:bidi="en-US"/>
      </w:rPr>
    </w:lvl>
    <w:lvl w:ilvl="6" w:tplc="BA747A92">
      <w:numFmt w:val="bullet"/>
      <w:lvlText w:val="•"/>
      <w:lvlJc w:val="left"/>
      <w:pPr>
        <w:ind w:left="6444" w:hanging="260"/>
      </w:pPr>
      <w:rPr>
        <w:rFonts w:hint="default"/>
        <w:lang w:val="en-US" w:eastAsia="en-US" w:bidi="en-US"/>
      </w:rPr>
    </w:lvl>
    <w:lvl w:ilvl="7" w:tplc="A15CE904">
      <w:numFmt w:val="bullet"/>
      <w:lvlText w:val="•"/>
      <w:lvlJc w:val="left"/>
      <w:pPr>
        <w:ind w:left="7573" w:hanging="260"/>
      </w:pPr>
      <w:rPr>
        <w:rFonts w:hint="default"/>
        <w:lang w:val="en-US" w:eastAsia="en-US" w:bidi="en-US"/>
      </w:rPr>
    </w:lvl>
    <w:lvl w:ilvl="8" w:tplc="D7206952">
      <w:numFmt w:val="bullet"/>
      <w:lvlText w:val="•"/>
      <w:lvlJc w:val="left"/>
      <w:pPr>
        <w:ind w:left="8702" w:hanging="260"/>
      </w:pPr>
      <w:rPr>
        <w:rFonts w:hint="default"/>
        <w:lang w:val="en-US" w:eastAsia="en-US" w:bidi="en-US"/>
      </w:rPr>
    </w:lvl>
  </w:abstractNum>
  <w:abstractNum w:abstractNumId="1">
    <w:nsid w:val="62BA4961"/>
    <w:multiLevelType w:val="hybridMultilevel"/>
    <w:tmpl w:val="9294D7C2"/>
    <w:lvl w:ilvl="0" w:tplc="B074D46A">
      <w:start w:val="1"/>
      <w:numFmt w:val="upperLetter"/>
      <w:lvlText w:val="%1."/>
      <w:lvlJc w:val="left"/>
      <w:pPr>
        <w:ind w:left="790" w:hanging="260"/>
        <w:jc w:val="left"/>
      </w:pPr>
      <w:rPr>
        <w:rFonts w:ascii="Arial" w:eastAsia="Arial" w:hAnsi="Arial" w:cs="Arial" w:hint="default"/>
        <w:color w:val="231F20"/>
        <w:w w:val="100"/>
        <w:sz w:val="21"/>
        <w:szCs w:val="21"/>
        <w:lang w:val="en-US" w:eastAsia="en-US" w:bidi="en-US"/>
      </w:rPr>
    </w:lvl>
    <w:lvl w:ilvl="1" w:tplc="67D23D30">
      <w:start w:val="1"/>
      <w:numFmt w:val="decimal"/>
      <w:lvlText w:val="%2."/>
      <w:lvlJc w:val="left"/>
      <w:pPr>
        <w:ind w:left="790" w:hanging="260"/>
        <w:jc w:val="left"/>
      </w:pPr>
      <w:rPr>
        <w:rFonts w:ascii="Arial" w:eastAsia="Arial" w:hAnsi="Arial" w:cs="Arial" w:hint="default"/>
        <w:color w:val="231F20"/>
        <w:spacing w:val="-1"/>
        <w:w w:val="100"/>
        <w:sz w:val="21"/>
        <w:szCs w:val="21"/>
        <w:lang w:val="en-US" w:eastAsia="en-US" w:bidi="en-US"/>
      </w:rPr>
    </w:lvl>
    <w:lvl w:ilvl="2" w:tplc="A5AEA3EC">
      <w:numFmt w:val="bullet"/>
      <w:lvlText w:val="•"/>
      <w:lvlJc w:val="left"/>
      <w:pPr>
        <w:ind w:left="2832" w:hanging="260"/>
      </w:pPr>
      <w:rPr>
        <w:rFonts w:hint="default"/>
        <w:lang w:val="en-US" w:eastAsia="en-US" w:bidi="en-US"/>
      </w:rPr>
    </w:lvl>
    <w:lvl w:ilvl="3" w:tplc="1CD43B58">
      <w:numFmt w:val="bullet"/>
      <w:lvlText w:val="•"/>
      <w:lvlJc w:val="left"/>
      <w:pPr>
        <w:ind w:left="3848" w:hanging="260"/>
      </w:pPr>
      <w:rPr>
        <w:rFonts w:hint="default"/>
        <w:lang w:val="en-US" w:eastAsia="en-US" w:bidi="en-US"/>
      </w:rPr>
    </w:lvl>
    <w:lvl w:ilvl="4" w:tplc="1EDE8ED8">
      <w:numFmt w:val="bullet"/>
      <w:lvlText w:val="•"/>
      <w:lvlJc w:val="left"/>
      <w:pPr>
        <w:ind w:left="4864" w:hanging="260"/>
      </w:pPr>
      <w:rPr>
        <w:rFonts w:hint="default"/>
        <w:lang w:val="en-US" w:eastAsia="en-US" w:bidi="en-US"/>
      </w:rPr>
    </w:lvl>
    <w:lvl w:ilvl="5" w:tplc="60343050">
      <w:numFmt w:val="bullet"/>
      <w:lvlText w:val="•"/>
      <w:lvlJc w:val="left"/>
      <w:pPr>
        <w:ind w:left="5880" w:hanging="260"/>
      </w:pPr>
      <w:rPr>
        <w:rFonts w:hint="default"/>
        <w:lang w:val="en-US" w:eastAsia="en-US" w:bidi="en-US"/>
      </w:rPr>
    </w:lvl>
    <w:lvl w:ilvl="6" w:tplc="C92E9122">
      <w:numFmt w:val="bullet"/>
      <w:lvlText w:val="•"/>
      <w:lvlJc w:val="left"/>
      <w:pPr>
        <w:ind w:left="6896" w:hanging="260"/>
      </w:pPr>
      <w:rPr>
        <w:rFonts w:hint="default"/>
        <w:lang w:val="en-US" w:eastAsia="en-US" w:bidi="en-US"/>
      </w:rPr>
    </w:lvl>
    <w:lvl w:ilvl="7" w:tplc="34A4C1F4">
      <w:numFmt w:val="bullet"/>
      <w:lvlText w:val="•"/>
      <w:lvlJc w:val="left"/>
      <w:pPr>
        <w:ind w:left="7912" w:hanging="260"/>
      </w:pPr>
      <w:rPr>
        <w:rFonts w:hint="default"/>
        <w:lang w:val="en-US" w:eastAsia="en-US" w:bidi="en-US"/>
      </w:rPr>
    </w:lvl>
    <w:lvl w:ilvl="8" w:tplc="3026B2E6">
      <w:numFmt w:val="bullet"/>
      <w:lvlText w:val="•"/>
      <w:lvlJc w:val="left"/>
      <w:pPr>
        <w:ind w:left="8928" w:hanging="2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4E"/>
    <w:rsid w:val="00242EB2"/>
    <w:rsid w:val="00CB574E"/>
    <w:rsid w:val="00EB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574E"/>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CB574E"/>
    <w:pPr>
      <w:spacing w:before="12"/>
      <w:ind w:left="20"/>
      <w:outlineLvl w:val="4"/>
    </w:pPr>
    <w:rPr>
      <w:sz w:val="24"/>
      <w:szCs w:val="24"/>
    </w:rPr>
  </w:style>
  <w:style w:type="paragraph" w:styleId="Heading7">
    <w:name w:val="heading 7"/>
    <w:basedOn w:val="Normal"/>
    <w:link w:val="Heading7Char"/>
    <w:uiPriority w:val="1"/>
    <w:qFormat/>
    <w:rsid w:val="00CB574E"/>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CB574E"/>
    <w:rPr>
      <w:rFonts w:ascii="Arial" w:eastAsia="Arial" w:hAnsi="Arial" w:cs="Arial"/>
      <w:sz w:val="24"/>
      <w:szCs w:val="24"/>
      <w:lang w:bidi="en-US"/>
    </w:rPr>
  </w:style>
  <w:style w:type="character" w:customStyle="1" w:styleId="Heading7Char">
    <w:name w:val="Heading 7 Char"/>
    <w:basedOn w:val="DefaultParagraphFont"/>
    <w:link w:val="Heading7"/>
    <w:uiPriority w:val="1"/>
    <w:rsid w:val="00CB574E"/>
    <w:rPr>
      <w:rFonts w:ascii="Arial" w:eastAsia="Arial" w:hAnsi="Arial" w:cs="Arial"/>
      <w:b/>
      <w:bCs/>
      <w:sz w:val="21"/>
      <w:szCs w:val="21"/>
      <w:lang w:bidi="en-US"/>
    </w:rPr>
  </w:style>
  <w:style w:type="paragraph" w:styleId="BodyText">
    <w:name w:val="Body Text"/>
    <w:basedOn w:val="Normal"/>
    <w:link w:val="BodyTextChar"/>
    <w:uiPriority w:val="1"/>
    <w:qFormat/>
    <w:rsid w:val="00CB574E"/>
    <w:rPr>
      <w:sz w:val="21"/>
      <w:szCs w:val="21"/>
    </w:rPr>
  </w:style>
  <w:style w:type="character" w:customStyle="1" w:styleId="BodyTextChar">
    <w:name w:val="Body Text Char"/>
    <w:basedOn w:val="DefaultParagraphFont"/>
    <w:link w:val="BodyText"/>
    <w:uiPriority w:val="1"/>
    <w:rsid w:val="00CB574E"/>
    <w:rPr>
      <w:rFonts w:ascii="Arial" w:eastAsia="Arial" w:hAnsi="Arial" w:cs="Arial"/>
      <w:sz w:val="21"/>
      <w:szCs w:val="21"/>
      <w:lang w:bidi="en-US"/>
    </w:rPr>
  </w:style>
  <w:style w:type="paragraph" w:styleId="ListParagraph">
    <w:name w:val="List Paragraph"/>
    <w:basedOn w:val="Normal"/>
    <w:uiPriority w:val="1"/>
    <w:qFormat/>
    <w:rsid w:val="00CB574E"/>
    <w:pPr>
      <w:spacing w:before="45"/>
      <w:ind w:left="790" w:hanging="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574E"/>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CB574E"/>
    <w:pPr>
      <w:spacing w:before="12"/>
      <w:ind w:left="20"/>
      <w:outlineLvl w:val="4"/>
    </w:pPr>
    <w:rPr>
      <w:sz w:val="24"/>
      <w:szCs w:val="24"/>
    </w:rPr>
  </w:style>
  <w:style w:type="paragraph" w:styleId="Heading7">
    <w:name w:val="heading 7"/>
    <w:basedOn w:val="Normal"/>
    <w:link w:val="Heading7Char"/>
    <w:uiPriority w:val="1"/>
    <w:qFormat/>
    <w:rsid w:val="00CB574E"/>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CB574E"/>
    <w:rPr>
      <w:rFonts w:ascii="Arial" w:eastAsia="Arial" w:hAnsi="Arial" w:cs="Arial"/>
      <w:sz w:val="24"/>
      <w:szCs w:val="24"/>
      <w:lang w:bidi="en-US"/>
    </w:rPr>
  </w:style>
  <w:style w:type="character" w:customStyle="1" w:styleId="Heading7Char">
    <w:name w:val="Heading 7 Char"/>
    <w:basedOn w:val="DefaultParagraphFont"/>
    <w:link w:val="Heading7"/>
    <w:uiPriority w:val="1"/>
    <w:rsid w:val="00CB574E"/>
    <w:rPr>
      <w:rFonts w:ascii="Arial" w:eastAsia="Arial" w:hAnsi="Arial" w:cs="Arial"/>
      <w:b/>
      <w:bCs/>
      <w:sz w:val="21"/>
      <w:szCs w:val="21"/>
      <w:lang w:bidi="en-US"/>
    </w:rPr>
  </w:style>
  <w:style w:type="paragraph" w:styleId="BodyText">
    <w:name w:val="Body Text"/>
    <w:basedOn w:val="Normal"/>
    <w:link w:val="BodyTextChar"/>
    <w:uiPriority w:val="1"/>
    <w:qFormat/>
    <w:rsid w:val="00CB574E"/>
    <w:rPr>
      <w:sz w:val="21"/>
      <w:szCs w:val="21"/>
    </w:rPr>
  </w:style>
  <w:style w:type="character" w:customStyle="1" w:styleId="BodyTextChar">
    <w:name w:val="Body Text Char"/>
    <w:basedOn w:val="DefaultParagraphFont"/>
    <w:link w:val="BodyText"/>
    <w:uiPriority w:val="1"/>
    <w:rsid w:val="00CB574E"/>
    <w:rPr>
      <w:rFonts w:ascii="Arial" w:eastAsia="Arial" w:hAnsi="Arial" w:cs="Arial"/>
      <w:sz w:val="21"/>
      <w:szCs w:val="21"/>
      <w:lang w:bidi="en-US"/>
    </w:rPr>
  </w:style>
  <w:style w:type="paragraph" w:styleId="ListParagraph">
    <w:name w:val="List Paragraph"/>
    <w:basedOn w:val="Normal"/>
    <w:uiPriority w:val="1"/>
    <w:qFormat/>
    <w:rsid w:val="00CB574E"/>
    <w:pPr>
      <w:spacing w:before="45"/>
      <w:ind w:left="790"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2018-07-23T21:37:00Z</dcterms:created>
  <dcterms:modified xsi:type="dcterms:W3CDTF">2018-07-24T20:54:00Z</dcterms:modified>
</cp:coreProperties>
</file>