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A9" w:rsidRPr="004E4223" w:rsidRDefault="000B45A9" w:rsidP="000B45A9">
      <w:pPr>
        <w:jc w:val="center"/>
        <w:rPr>
          <w:sz w:val="36"/>
        </w:rPr>
      </w:pPr>
      <w:r w:rsidRPr="004E4223">
        <w:rPr>
          <w:sz w:val="36"/>
        </w:rPr>
        <w:t>CW Content Fidelity</w:t>
      </w:r>
      <w:r>
        <w:rPr>
          <w:sz w:val="32"/>
          <w:szCs w:val="32"/>
        </w:rPr>
        <w:t>*</w:t>
      </w:r>
    </w:p>
    <w:p w:rsidR="000B45A9" w:rsidRDefault="000B45A9" w:rsidP="000B45A9">
      <w:pPr>
        <w:pBdr>
          <w:bottom w:val="single" w:sz="6" w:space="1" w:color="auto"/>
        </w:pBdr>
        <w:jc w:val="center"/>
        <w:rPr>
          <w:sz w:val="36"/>
        </w:rPr>
      </w:pPr>
      <w:r>
        <w:rPr>
          <w:sz w:val="36"/>
        </w:rPr>
        <w:t>A</w:t>
      </w:r>
      <w:r>
        <w:rPr>
          <w:sz w:val="36"/>
        </w:rPr>
        <w:t>ssessment Capable Learners (2014</w:t>
      </w:r>
      <w:r>
        <w:rPr>
          <w:sz w:val="36"/>
        </w:rPr>
        <w:t xml:space="preserve"> </w:t>
      </w:r>
      <w:r>
        <w:rPr>
          <w:sz w:val="36"/>
        </w:rPr>
        <w:t>Enhancement</w:t>
      </w:r>
      <w:r>
        <w:rPr>
          <w:sz w:val="36"/>
        </w:rPr>
        <w:t>)</w:t>
      </w:r>
    </w:p>
    <w:p w:rsidR="000B45A9" w:rsidRPr="00992747" w:rsidRDefault="000B45A9" w:rsidP="000B45A9">
      <w:pPr>
        <w:pBdr>
          <w:bottom w:val="single" w:sz="6" w:space="1" w:color="auto"/>
        </w:pBdr>
        <w:jc w:val="center"/>
      </w:pPr>
    </w:p>
    <w:p w:rsidR="000B45A9" w:rsidRDefault="000B45A9" w:rsidP="000B45A9">
      <w:pPr>
        <w:jc w:val="center"/>
        <w:rPr>
          <w:b/>
        </w:rPr>
      </w:pPr>
    </w:p>
    <w:p w:rsidR="000B45A9" w:rsidRDefault="000B45A9" w:rsidP="000B45A9">
      <w:pPr>
        <w:pBdr>
          <w:bottom w:val="single" w:sz="4" w:space="1" w:color="auto"/>
        </w:pBdr>
        <w:tabs>
          <w:tab w:val="left" w:pos="1620"/>
          <w:tab w:val="left" w:pos="6210"/>
        </w:tabs>
      </w:pPr>
      <w:r w:rsidRPr="005526EB">
        <w:rPr>
          <w:b/>
        </w:rPr>
        <w:t>RPDC</w:t>
      </w:r>
      <w:r>
        <w:rPr>
          <w:b/>
        </w:rPr>
        <w:t>:</w:t>
      </w:r>
      <w:r>
        <w:rPr>
          <w:b/>
        </w:rPr>
        <w:tab/>
      </w:r>
      <w:r w:rsidRPr="005526EB">
        <w:rPr>
          <w:b/>
        </w:rPr>
        <w:t>Consultant(s):</w:t>
      </w:r>
      <w:r w:rsidRPr="005526EB">
        <w:rPr>
          <w:b/>
        </w:rPr>
        <w:tab/>
        <w:t>SIS:</w:t>
      </w:r>
      <w:r w:rsidRPr="005526EB">
        <w:rPr>
          <w:b/>
        </w:rPr>
        <w:tab/>
      </w:r>
      <w:r>
        <w:tab/>
      </w:r>
      <w:r>
        <w:tab/>
      </w:r>
    </w:p>
    <w:p w:rsidR="000B45A9" w:rsidRPr="005526EB" w:rsidRDefault="000B45A9" w:rsidP="000B45A9">
      <w:pPr>
        <w:rPr>
          <w:b/>
        </w:rPr>
      </w:pPr>
    </w:p>
    <w:p w:rsidR="000B45A9" w:rsidRPr="00D5563E" w:rsidRDefault="000B45A9" w:rsidP="000B45A9">
      <w:pPr>
        <w:pBdr>
          <w:bottom w:val="single" w:sz="4" w:space="1" w:color="auto"/>
        </w:pBdr>
        <w:tabs>
          <w:tab w:val="left" w:pos="1620"/>
          <w:tab w:val="left" w:pos="2160"/>
          <w:tab w:val="left" w:pos="6210"/>
        </w:tabs>
      </w:pPr>
      <w:r>
        <w:rPr>
          <w:b/>
        </w:rPr>
        <w:t>Date:</w:t>
      </w:r>
      <w:r>
        <w:rPr>
          <w:b/>
        </w:rPr>
        <w:tab/>
        <w:t>Location/Building:</w:t>
      </w:r>
      <w:r>
        <w:rPr>
          <w:b/>
        </w:rPr>
        <w:tab/>
      </w:r>
      <w:r w:rsidRPr="005526EB">
        <w:rPr>
          <w:b/>
        </w:rPr>
        <w:t>Duration:</w:t>
      </w:r>
      <w:r w:rsidRPr="005526EB">
        <w:tab/>
      </w:r>
      <w:r w:rsidRPr="005526EB">
        <w:tab/>
      </w:r>
      <w:r w:rsidRPr="005526EB">
        <w:tab/>
      </w:r>
    </w:p>
    <w:p w:rsidR="00773164" w:rsidRPr="008250DE" w:rsidRDefault="00773164" w:rsidP="00773164"/>
    <w:p w:rsidR="00773164" w:rsidRPr="008250DE" w:rsidRDefault="00773164" w:rsidP="00773164">
      <w:pPr>
        <w:numPr>
          <w:ilvl w:val="0"/>
          <w:numId w:val="4"/>
        </w:numPr>
        <w:ind w:hanging="360"/>
        <w:contextualSpacing/>
      </w:pPr>
      <w:r w:rsidRPr="008250DE">
        <w:t>Stated Purpose (at least one)</w:t>
      </w:r>
    </w:p>
    <w:p w:rsidR="00773164" w:rsidRPr="008250DE" w:rsidRDefault="006B448D" w:rsidP="00773164">
      <w:pPr>
        <w:pStyle w:val="ListParagraph"/>
        <w:numPr>
          <w:ilvl w:val="0"/>
          <w:numId w:val="6"/>
        </w:numPr>
      </w:pPr>
      <w:r>
        <w:t xml:space="preserve">Objectives – (slide 4, </w:t>
      </w:r>
      <w:r w:rsidR="00773164" w:rsidRPr="008250DE">
        <w:t>repeated 25, 36, 65, 102)</w:t>
      </w:r>
    </w:p>
    <w:p w:rsidR="00773164" w:rsidRPr="008250DE" w:rsidRDefault="006B448D" w:rsidP="00773164">
      <w:pPr>
        <w:pStyle w:val="ListParagraph"/>
        <w:numPr>
          <w:ilvl w:val="0"/>
          <w:numId w:val="6"/>
        </w:numPr>
      </w:pPr>
      <w:r>
        <w:t xml:space="preserve">Expectations – (slide 4, </w:t>
      </w:r>
      <w:r w:rsidR="00773164" w:rsidRPr="008250DE">
        <w:t>repeated 25, 36, 65, 102)</w:t>
      </w:r>
    </w:p>
    <w:p w:rsidR="00773164" w:rsidRPr="008250DE" w:rsidRDefault="00773164" w:rsidP="00773164">
      <w:pPr>
        <w:pStyle w:val="ListParagraph"/>
        <w:numPr>
          <w:ilvl w:val="0"/>
          <w:numId w:val="6"/>
        </w:numPr>
      </w:pPr>
      <w:r w:rsidRPr="008250DE">
        <w:t xml:space="preserve">Essential Questions – </w:t>
      </w:r>
      <w:r w:rsidR="006B448D">
        <w:t>(</w:t>
      </w:r>
      <w:r w:rsidRPr="008250DE">
        <w:t>slide 21</w:t>
      </w:r>
      <w:r w:rsidR="006B448D">
        <w:t>)</w:t>
      </w:r>
    </w:p>
    <w:p w:rsidR="00773164" w:rsidRPr="008250DE" w:rsidRDefault="00773164" w:rsidP="00773164">
      <w:pPr>
        <w:pStyle w:val="ListParagraph"/>
        <w:numPr>
          <w:ilvl w:val="0"/>
          <w:numId w:val="6"/>
        </w:numPr>
      </w:pPr>
      <w:r w:rsidRPr="008250DE">
        <w:t>Outcomes</w:t>
      </w:r>
    </w:p>
    <w:p w:rsidR="00773164" w:rsidRPr="008250DE" w:rsidRDefault="00773164" w:rsidP="00773164">
      <w:pPr>
        <w:pStyle w:val="ListParagraph"/>
        <w:ind w:left="1080"/>
      </w:pPr>
    </w:p>
    <w:p w:rsidR="00773164" w:rsidRPr="008250DE" w:rsidRDefault="00773164" w:rsidP="00773164">
      <w:pPr>
        <w:numPr>
          <w:ilvl w:val="0"/>
          <w:numId w:val="3"/>
        </w:numPr>
        <w:ind w:hanging="360"/>
        <w:contextualSpacing/>
      </w:pPr>
      <w:r w:rsidRPr="008250DE">
        <w:t xml:space="preserve">Hattie </w:t>
      </w:r>
      <w:r w:rsidR="009C63D0">
        <w:t>Barometer with Effect S</w:t>
      </w:r>
      <w:r w:rsidRPr="008250DE">
        <w:t xml:space="preserve">ize and explanation – </w:t>
      </w:r>
      <w:r w:rsidR="006B448D">
        <w:t>(</w:t>
      </w:r>
      <w:r w:rsidRPr="008250DE">
        <w:t>slides 10, 11</w:t>
      </w:r>
      <w:r w:rsidR="006B448D">
        <w:t>)</w:t>
      </w:r>
    </w:p>
    <w:p w:rsidR="00773164" w:rsidRPr="008250DE" w:rsidRDefault="00773164" w:rsidP="00773164">
      <w:pPr>
        <w:ind w:left="720"/>
      </w:pPr>
    </w:p>
    <w:p w:rsidR="00773164" w:rsidRPr="008250DE" w:rsidRDefault="00773164" w:rsidP="00773164">
      <w:pPr>
        <w:numPr>
          <w:ilvl w:val="0"/>
          <w:numId w:val="3"/>
        </w:numPr>
        <w:ind w:hanging="360"/>
        <w:contextualSpacing/>
      </w:pPr>
      <w:r w:rsidRPr="008250DE">
        <w:t xml:space="preserve">Missouri Teacher Standards – missing </w:t>
      </w:r>
    </w:p>
    <w:p w:rsidR="00773164" w:rsidRPr="008250DE" w:rsidRDefault="00773164" w:rsidP="00773164"/>
    <w:p w:rsidR="00773164" w:rsidRPr="008250DE" w:rsidRDefault="009C63D0" w:rsidP="00773164">
      <w:pPr>
        <w:numPr>
          <w:ilvl w:val="0"/>
          <w:numId w:val="1"/>
        </w:numPr>
        <w:ind w:hanging="360"/>
        <w:contextualSpacing/>
      </w:pPr>
      <w:r>
        <w:t>Core/Key Concepts with</w:t>
      </w:r>
      <w:r w:rsidR="00773164" w:rsidRPr="008250DE">
        <w:t xml:space="preserve"> explanation of practice</w:t>
      </w:r>
    </w:p>
    <w:p w:rsidR="00773164" w:rsidRPr="008250DE" w:rsidRDefault="008250DE" w:rsidP="00773164">
      <w:pPr>
        <w:pStyle w:val="ListParagraph"/>
        <w:numPr>
          <w:ilvl w:val="0"/>
          <w:numId w:val="8"/>
        </w:numPr>
      </w:pPr>
      <w:r w:rsidRPr="008250DE">
        <w:t>What Assessment</w:t>
      </w:r>
      <w:r w:rsidR="006B448D">
        <w:t xml:space="preserve"> Capable Learners Do – (slide 5, </w:t>
      </w:r>
      <w:r w:rsidR="00773164" w:rsidRPr="008250DE">
        <w:t>repeated 24, 37, 66, 103)</w:t>
      </w:r>
    </w:p>
    <w:p w:rsidR="00773164" w:rsidRPr="008250DE" w:rsidRDefault="00773164" w:rsidP="00773164">
      <w:pPr>
        <w:pStyle w:val="ListParagraph"/>
        <w:numPr>
          <w:ilvl w:val="0"/>
          <w:numId w:val="8"/>
        </w:numPr>
      </w:pPr>
      <w:r w:rsidRPr="008250DE">
        <w:t xml:space="preserve">Benefits – </w:t>
      </w:r>
      <w:r w:rsidR="006B448D">
        <w:t>(</w:t>
      </w:r>
      <w:r w:rsidRPr="008250DE">
        <w:t>slide 17</w:t>
      </w:r>
      <w:r w:rsidR="006B448D">
        <w:t>)</w:t>
      </w:r>
    </w:p>
    <w:p w:rsidR="00773164" w:rsidRPr="008250DE" w:rsidRDefault="008250DE" w:rsidP="00773164">
      <w:pPr>
        <w:pStyle w:val="ListParagraph"/>
        <w:numPr>
          <w:ilvl w:val="0"/>
          <w:numId w:val="8"/>
        </w:numPr>
      </w:pPr>
      <w:r w:rsidRPr="008250DE">
        <w:t xml:space="preserve">Clarify </w:t>
      </w:r>
      <w:r w:rsidR="00773164" w:rsidRPr="008250DE">
        <w:t xml:space="preserve">Roles – </w:t>
      </w:r>
      <w:r w:rsidR="006B448D">
        <w:t>(</w:t>
      </w:r>
      <w:r w:rsidR="00773164" w:rsidRPr="008250DE">
        <w:t>slide 22</w:t>
      </w:r>
      <w:r w:rsidR="006B448D">
        <w:t>)</w:t>
      </w:r>
    </w:p>
    <w:p w:rsidR="00773164" w:rsidRPr="008250DE" w:rsidRDefault="008250DE" w:rsidP="00773164">
      <w:pPr>
        <w:pStyle w:val="ListParagraph"/>
        <w:numPr>
          <w:ilvl w:val="0"/>
          <w:numId w:val="8"/>
        </w:numPr>
      </w:pPr>
      <w:r w:rsidRPr="008250DE">
        <w:t>Importance of Student Goal S</w:t>
      </w:r>
      <w:r w:rsidR="00773164" w:rsidRPr="008250DE">
        <w:t xml:space="preserve">etting – </w:t>
      </w:r>
      <w:r w:rsidR="006B448D">
        <w:t>(</w:t>
      </w:r>
      <w:r w:rsidR="00773164" w:rsidRPr="008250DE">
        <w:t>slide 26</w:t>
      </w:r>
      <w:r w:rsidR="006B448D">
        <w:t>)</w:t>
      </w:r>
    </w:p>
    <w:p w:rsidR="00773164" w:rsidRPr="008250DE" w:rsidRDefault="00773164" w:rsidP="00773164">
      <w:pPr>
        <w:pStyle w:val="ListParagraph"/>
        <w:numPr>
          <w:ilvl w:val="0"/>
          <w:numId w:val="8"/>
        </w:numPr>
      </w:pPr>
      <w:r w:rsidRPr="008250DE">
        <w:t xml:space="preserve">Rubrics – </w:t>
      </w:r>
      <w:r w:rsidR="006B448D">
        <w:t>(</w:t>
      </w:r>
      <w:r w:rsidRPr="008250DE">
        <w:t>slides 45, 46, 52, 54, 55</w:t>
      </w:r>
      <w:r w:rsidR="006B448D">
        <w:t>)</w:t>
      </w:r>
    </w:p>
    <w:p w:rsidR="00773164" w:rsidRPr="008250DE" w:rsidRDefault="00773164" w:rsidP="00773164">
      <w:pPr>
        <w:pStyle w:val="ListParagraph"/>
        <w:numPr>
          <w:ilvl w:val="0"/>
          <w:numId w:val="8"/>
        </w:numPr>
      </w:pPr>
      <w:r w:rsidRPr="008250DE">
        <w:t>Portfolio</w:t>
      </w:r>
      <w:r w:rsidR="00A2727E">
        <w:t>s</w:t>
      </w:r>
      <w:r w:rsidRPr="008250DE">
        <w:t xml:space="preserve"> – </w:t>
      </w:r>
      <w:r w:rsidR="006B448D">
        <w:t>(</w:t>
      </w:r>
      <w:r w:rsidRPr="008250DE">
        <w:t>slides 69,</w:t>
      </w:r>
      <w:r w:rsidR="00810917" w:rsidRPr="008250DE">
        <w:t xml:space="preserve"> </w:t>
      </w:r>
      <w:r w:rsidRPr="008250DE">
        <w:t>73-83, 91, 92, 94-98</w:t>
      </w:r>
      <w:r w:rsidR="006B448D">
        <w:t>)</w:t>
      </w:r>
    </w:p>
    <w:p w:rsidR="00773164" w:rsidRPr="008250DE" w:rsidRDefault="00773164" w:rsidP="00773164">
      <w:pPr>
        <w:pStyle w:val="ListParagraph"/>
        <w:numPr>
          <w:ilvl w:val="0"/>
          <w:numId w:val="8"/>
        </w:numPr>
      </w:pPr>
      <w:r w:rsidRPr="008250DE">
        <w:t xml:space="preserve">Student-Led Conferences – </w:t>
      </w:r>
      <w:r w:rsidR="006B448D">
        <w:t>(</w:t>
      </w:r>
      <w:r w:rsidRPr="008250DE">
        <w:t>slides 105,</w:t>
      </w:r>
      <w:r w:rsidR="00810917" w:rsidRPr="008250DE">
        <w:t xml:space="preserve"> </w:t>
      </w:r>
      <w:r w:rsidRPr="008250DE">
        <w:t>106, 107, 109-118</w:t>
      </w:r>
      <w:r w:rsidR="006B448D">
        <w:t>)</w:t>
      </w:r>
    </w:p>
    <w:p w:rsidR="00773164" w:rsidRPr="008250DE" w:rsidRDefault="00773164" w:rsidP="00773164"/>
    <w:p w:rsidR="00773164" w:rsidRPr="008250DE" w:rsidRDefault="00773164" w:rsidP="00773164">
      <w:pPr>
        <w:numPr>
          <w:ilvl w:val="0"/>
          <w:numId w:val="1"/>
        </w:numPr>
        <w:ind w:hanging="360"/>
        <w:contextualSpacing/>
      </w:pPr>
      <w:r w:rsidRPr="008250DE">
        <w:t>Definition/Vocabulary</w:t>
      </w:r>
    </w:p>
    <w:p w:rsidR="00773164" w:rsidRPr="008250DE" w:rsidRDefault="00773164" w:rsidP="00773164">
      <w:pPr>
        <w:pStyle w:val="ListParagraph"/>
        <w:numPr>
          <w:ilvl w:val="0"/>
          <w:numId w:val="9"/>
        </w:numPr>
      </w:pPr>
      <w:r w:rsidRPr="008250DE">
        <w:t xml:space="preserve">Rubric – </w:t>
      </w:r>
      <w:r w:rsidR="006B448D">
        <w:t>(</w:t>
      </w:r>
      <w:r w:rsidRPr="008250DE">
        <w:t>slide 41</w:t>
      </w:r>
      <w:r w:rsidR="006B448D">
        <w:t>)</w:t>
      </w:r>
    </w:p>
    <w:p w:rsidR="00773164" w:rsidRPr="008250DE" w:rsidRDefault="00773164" w:rsidP="00773164">
      <w:pPr>
        <w:pStyle w:val="ListParagraph"/>
        <w:numPr>
          <w:ilvl w:val="0"/>
          <w:numId w:val="9"/>
        </w:numPr>
      </w:pPr>
      <w:r w:rsidRPr="008250DE">
        <w:t xml:space="preserve">Portfolio – </w:t>
      </w:r>
      <w:r w:rsidR="006B448D">
        <w:t>(</w:t>
      </w:r>
      <w:r w:rsidRPr="008250DE">
        <w:t>slide 68</w:t>
      </w:r>
      <w:r w:rsidR="006B448D">
        <w:t>)</w:t>
      </w:r>
    </w:p>
    <w:p w:rsidR="00773164" w:rsidRPr="008250DE" w:rsidRDefault="00773164" w:rsidP="00773164"/>
    <w:p w:rsidR="00773164" w:rsidRPr="008250DE" w:rsidRDefault="00773164" w:rsidP="00773164">
      <w:pPr>
        <w:numPr>
          <w:ilvl w:val="0"/>
          <w:numId w:val="2"/>
        </w:numPr>
        <w:ind w:right="-180" w:hanging="360"/>
        <w:contextualSpacing/>
      </w:pPr>
      <w:r w:rsidRPr="008250DE">
        <w:t xml:space="preserve">Implementation Fidelity Checklist with discussion of concepts – </w:t>
      </w:r>
      <w:r w:rsidR="006B448D">
        <w:t>(</w:t>
      </w:r>
      <w:r w:rsidRPr="008250DE">
        <w:t>slide 135</w:t>
      </w:r>
      <w:r w:rsidR="006B448D">
        <w:t>)</w:t>
      </w:r>
      <w:r w:rsidRPr="008250DE">
        <w:t xml:space="preserve"> </w:t>
      </w:r>
    </w:p>
    <w:p w:rsidR="00773164" w:rsidRPr="008250DE" w:rsidRDefault="00773164" w:rsidP="00773164"/>
    <w:p w:rsidR="00773164" w:rsidRPr="008250DE" w:rsidRDefault="00773164" w:rsidP="00773164">
      <w:pPr>
        <w:numPr>
          <w:ilvl w:val="0"/>
          <w:numId w:val="2"/>
        </w:numPr>
        <w:ind w:hanging="360"/>
        <w:contextualSpacing/>
      </w:pPr>
      <w:r w:rsidRPr="008250DE">
        <w:t>Next Steps/Action</w:t>
      </w:r>
      <w:r w:rsidR="00953FB1" w:rsidRPr="008250DE">
        <w:t xml:space="preserve"> Planning</w:t>
      </w:r>
      <w:r w:rsidR="008250DE" w:rsidRPr="008250DE">
        <w:t xml:space="preserve"> </w:t>
      </w:r>
      <w:r w:rsidR="00813B5A">
        <w:t>– CW format</w:t>
      </w:r>
      <w:r w:rsidR="008250DE" w:rsidRPr="008250DE">
        <w:t xml:space="preserve"> or other format</w:t>
      </w:r>
    </w:p>
    <w:p w:rsidR="00773164" w:rsidRPr="008250DE" w:rsidRDefault="00953FB1" w:rsidP="00953FB1">
      <w:pPr>
        <w:pStyle w:val="ListParagraph"/>
        <w:numPr>
          <w:ilvl w:val="0"/>
          <w:numId w:val="11"/>
        </w:numPr>
      </w:pPr>
      <w:r w:rsidRPr="008250DE">
        <w:t>Rubric</w:t>
      </w:r>
      <w:r w:rsidR="00A2727E">
        <w:t>s</w:t>
      </w:r>
      <w:r w:rsidRPr="008250DE">
        <w:t xml:space="preserve"> – </w:t>
      </w:r>
      <w:r w:rsidR="006B448D">
        <w:t>(</w:t>
      </w:r>
      <w:r w:rsidRPr="008250DE">
        <w:t>slides 60, 63</w:t>
      </w:r>
      <w:r w:rsidR="006B448D">
        <w:t>)</w:t>
      </w:r>
    </w:p>
    <w:p w:rsidR="00953FB1" w:rsidRPr="008250DE" w:rsidRDefault="00953FB1" w:rsidP="00953FB1">
      <w:pPr>
        <w:pStyle w:val="ListParagraph"/>
        <w:numPr>
          <w:ilvl w:val="0"/>
          <w:numId w:val="11"/>
        </w:numPr>
      </w:pPr>
      <w:r w:rsidRPr="008250DE">
        <w:t>Portfolio</w:t>
      </w:r>
      <w:r w:rsidR="00A2727E">
        <w:t>s</w:t>
      </w:r>
      <w:r w:rsidRPr="008250DE">
        <w:t xml:space="preserve"> – </w:t>
      </w:r>
      <w:r w:rsidR="006B448D">
        <w:t>(</w:t>
      </w:r>
      <w:r w:rsidRPr="008250DE">
        <w:t>slide 99</w:t>
      </w:r>
      <w:r w:rsidR="006B448D">
        <w:t>)</w:t>
      </w:r>
    </w:p>
    <w:p w:rsidR="008250DE" w:rsidRDefault="00953FB1" w:rsidP="008250DE">
      <w:pPr>
        <w:pStyle w:val="ListParagraph"/>
        <w:numPr>
          <w:ilvl w:val="0"/>
          <w:numId w:val="11"/>
        </w:numPr>
      </w:pPr>
      <w:r w:rsidRPr="008250DE">
        <w:t xml:space="preserve">Student-Led Conferences – </w:t>
      </w:r>
      <w:r w:rsidR="006B448D">
        <w:t>(</w:t>
      </w:r>
      <w:r w:rsidRPr="008250DE">
        <w:t>slide 129</w:t>
      </w:r>
      <w:r w:rsidR="006B448D">
        <w:t>)</w:t>
      </w:r>
    </w:p>
    <w:p w:rsidR="008250DE" w:rsidRPr="008250DE" w:rsidRDefault="008250DE" w:rsidP="008250DE"/>
    <w:p w:rsidR="00AF78B0" w:rsidRDefault="00953FB1" w:rsidP="00AF78B0">
      <w:pPr>
        <w:numPr>
          <w:ilvl w:val="0"/>
          <w:numId w:val="2"/>
        </w:numPr>
        <w:ind w:hanging="360"/>
        <w:contextualSpacing/>
      </w:pPr>
      <w:r w:rsidRPr="008250DE">
        <w:t xml:space="preserve">Practice Profile – </w:t>
      </w:r>
      <w:r w:rsidR="006B448D">
        <w:t>(</w:t>
      </w:r>
      <w:r w:rsidRPr="008250DE">
        <w:t xml:space="preserve">slide </w:t>
      </w:r>
      <w:r w:rsidR="006B448D">
        <w:t xml:space="preserve">134, </w:t>
      </w:r>
      <w:r w:rsidR="00773164" w:rsidRPr="008250DE">
        <w:t>same as A</w:t>
      </w:r>
      <w:r w:rsidR="00A2727E">
        <w:t xml:space="preserve">ssessment </w:t>
      </w:r>
      <w:r w:rsidR="00773164" w:rsidRPr="008250DE">
        <w:t>C</w:t>
      </w:r>
      <w:r w:rsidR="00A2727E">
        <w:t xml:space="preserve">apable </w:t>
      </w:r>
      <w:r w:rsidR="00773164" w:rsidRPr="008250DE">
        <w:t>L</w:t>
      </w:r>
      <w:r w:rsidR="00A2727E">
        <w:t>earners</w:t>
      </w:r>
      <w:r w:rsidR="00773164" w:rsidRPr="008250DE">
        <w:t xml:space="preserve"> package</w:t>
      </w:r>
      <w:r w:rsidR="00AF78B0">
        <w:t>)</w:t>
      </w:r>
    </w:p>
    <w:sectPr w:rsidR="00AF78B0" w:rsidSect="00A65E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720" w:bottom="187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758" w:rsidRDefault="00F53758" w:rsidP="00CE25AE">
      <w:r>
        <w:separator/>
      </w:r>
    </w:p>
  </w:endnote>
  <w:endnote w:type="continuationSeparator" w:id="0">
    <w:p w:rsidR="00F53758" w:rsidRDefault="00F53758" w:rsidP="00CE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A9" w:rsidRDefault="000B4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A9" w:rsidRDefault="000B45A9" w:rsidP="003A7E2A">
    <w:pPr>
      <w:pStyle w:val="Footer"/>
    </w:pPr>
    <w:r>
      <w:t>*Slide numbers, used for cross-reference only, are subject to change upon revision.</w:t>
    </w:r>
  </w:p>
  <w:p w:rsidR="000B45A9" w:rsidRDefault="000B45A9" w:rsidP="003A7E2A">
    <w:pPr>
      <w:pStyle w:val="Footer"/>
    </w:pPr>
  </w:p>
  <w:p w:rsidR="000B45A9" w:rsidRDefault="000B45A9" w:rsidP="003A7E2A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>
      <w:t>Assessment Capable Learners</w:t>
    </w:r>
    <w:r>
      <w:t xml:space="preserve"> Enhancement</w:t>
    </w:r>
  </w:p>
  <w:p w:rsidR="000B45A9" w:rsidRDefault="000B45A9" w:rsidP="000B45A9">
    <w:pPr>
      <w:pStyle w:val="Footer"/>
      <w:pBdr>
        <w:top w:val="single" w:sz="12" w:space="0" w:color="0D4170" w:themeColor="accent2"/>
      </w:pBdr>
      <w:tabs>
        <w:tab w:val="clear" w:pos="9360"/>
        <w:tab w:val="right" w:pos="10080"/>
      </w:tabs>
      <w:rPr>
        <w:noProof/>
      </w:rPr>
    </w:pPr>
    <w:r>
      <w:t>September 2016</w:t>
    </w:r>
    <w:r w:rsidRPr="006C30B0">
      <w:tab/>
    </w:r>
    <w:r>
      <w:t xml:space="preserve">                  </w:t>
    </w:r>
    <w:r>
      <w:tab/>
      <w:t xml:space="preserve">  </w:t>
    </w:r>
    <w:r>
      <w:t xml:space="preserve">      </w:t>
    </w:r>
    <w:bookmarkStart w:id="0" w:name="_GoBack"/>
    <w:bookmarkEnd w:id="0"/>
    <w:r w:rsidRPr="006C30B0">
      <w:t xml:space="preserve">Page </w:t>
    </w:r>
    <w:r>
      <w:t>1</w:t>
    </w:r>
  </w:p>
  <w:sdt>
    <w:sdtPr>
      <w:rPr>
        <w:rFonts w:cs="Times New Roman"/>
        <w:b/>
      </w:rPr>
      <w:alias w:val="Creative Commons License"/>
      <w:tag w:val="Creative Commons License"/>
      <w:id w:val="1235584343"/>
      <w:lock w:val="contentLocked"/>
      <w:placeholder>
        <w:docPart w:val="535555D5C9244E78BC04B7004262A9F6"/>
      </w:placeholder>
    </w:sdtPr>
    <w:sdtContent>
      <w:p w:rsidR="00C506E4" w:rsidRPr="000B45A9" w:rsidRDefault="000B45A9" w:rsidP="000B45A9">
        <w:pPr>
          <w:tabs>
            <w:tab w:val="left" w:pos="630"/>
            <w:tab w:val="left" w:pos="810"/>
            <w:tab w:val="left" w:pos="990"/>
            <w:tab w:val="left" w:pos="1080"/>
          </w:tabs>
          <w:rPr>
            <w:rFonts w:cs="Times New Roman"/>
            <w:b/>
          </w:rPr>
        </w:pPr>
        <w:r w:rsidRPr="00D5563E">
          <w:rPr>
            <w:noProof/>
          </w:rPr>
          <w:drawing>
            <wp:inline distT="0" distB="0" distL="0" distR="0" wp14:anchorId="6F10A081" wp14:editId="6BEA779C">
              <wp:extent cx="838200" cy="295275"/>
              <wp:effectExtent l="0" t="0" r="0" b="9525"/>
              <wp:docPr id="4" name="Pictu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5563E">
          <w:rPr>
            <w:rFonts w:cs="Times New Roman"/>
          </w:rPr>
          <w:t xml:space="preserve">This work is licensed under a </w:t>
        </w:r>
        <w:hyperlink r:id="rId2" w:history="1">
          <w:r w:rsidRPr="00D5563E">
            <w:rPr>
              <w:rStyle w:val="Hyperlink"/>
            </w:rPr>
            <w:t>Creative Commons Attribution-NonCommercial-NoDerivatives 4.0 International License</w:t>
          </w:r>
        </w:hyperlink>
        <w:r w:rsidRPr="00D5563E">
          <w:rPr>
            <w:rFonts w:cs="Times New Roman"/>
          </w:rPr>
          <w:t>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A9" w:rsidRDefault="000B4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758" w:rsidRDefault="00F53758" w:rsidP="00CE25AE">
      <w:r>
        <w:separator/>
      </w:r>
    </w:p>
  </w:footnote>
  <w:footnote w:type="continuationSeparator" w:id="0">
    <w:p w:rsidR="00F53758" w:rsidRDefault="00F53758" w:rsidP="00CE2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A9" w:rsidRDefault="000B4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E4" w:rsidRDefault="000B45A9">
    <w:pP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A9" w:rsidRDefault="000B4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546D"/>
    <w:multiLevelType w:val="multilevel"/>
    <w:tmpl w:val="3BBAC600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F4F5512"/>
    <w:multiLevelType w:val="hybridMultilevel"/>
    <w:tmpl w:val="AE0C9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683BC3"/>
    <w:multiLevelType w:val="multilevel"/>
    <w:tmpl w:val="AF5E49B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3" w15:restartNumberingAfterBreak="0">
    <w:nsid w:val="2C515EEB"/>
    <w:multiLevelType w:val="hybridMultilevel"/>
    <w:tmpl w:val="45702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932DB1"/>
    <w:multiLevelType w:val="hybridMultilevel"/>
    <w:tmpl w:val="5A20D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017B65"/>
    <w:multiLevelType w:val="multilevel"/>
    <w:tmpl w:val="6FC20888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407B7F7F"/>
    <w:multiLevelType w:val="hybridMultilevel"/>
    <w:tmpl w:val="23386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C279F1"/>
    <w:multiLevelType w:val="multilevel"/>
    <w:tmpl w:val="EA626940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6A03334C"/>
    <w:multiLevelType w:val="hybridMultilevel"/>
    <w:tmpl w:val="75024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740DF5"/>
    <w:multiLevelType w:val="hybridMultilevel"/>
    <w:tmpl w:val="22B28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EF7A53"/>
    <w:multiLevelType w:val="multilevel"/>
    <w:tmpl w:val="38463B30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64"/>
    <w:rsid w:val="000B45A9"/>
    <w:rsid w:val="001426ED"/>
    <w:rsid w:val="00252909"/>
    <w:rsid w:val="002F573D"/>
    <w:rsid w:val="003629A4"/>
    <w:rsid w:val="00481CFA"/>
    <w:rsid w:val="006B384E"/>
    <w:rsid w:val="006B448D"/>
    <w:rsid w:val="00773164"/>
    <w:rsid w:val="00797A98"/>
    <w:rsid w:val="00810917"/>
    <w:rsid w:val="00813B5A"/>
    <w:rsid w:val="008250DE"/>
    <w:rsid w:val="00944A7B"/>
    <w:rsid w:val="00953FB1"/>
    <w:rsid w:val="009C63D0"/>
    <w:rsid w:val="00A03E4C"/>
    <w:rsid w:val="00A2727E"/>
    <w:rsid w:val="00A42F5E"/>
    <w:rsid w:val="00A65EED"/>
    <w:rsid w:val="00AF78B0"/>
    <w:rsid w:val="00CD15A7"/>
    <w:rsid w:val="00CE25AE"/>
    <w:rsid w:val="00CE7EF0"/>
    <w:rsid w:val="00D6041D"/>
    <w:rsid w:val="00E63338"/>
    <w:rsid w:val="00E81FC1"/>
    <w:rsid w:val="00F5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C10744B"/>
  <w15:docId w15:val="{D8A75BD2-C126-4F30-B186-350126FA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3164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8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B0"/>
    <w:rPr>
      <w:rFonts w:ascii="Calibri" w:eastAsia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8B0"/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B0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5A9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5555D5C9244E78BC04B7004262A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B3661-4108-40E9-BF6A-9BF3B9EE7A36}"/>
      </w:docPartPr>
      <w:docPartBody>
        <w:p w:rsidR="00000000" w:rsidRDefault="00536565" w:rsidP="00536565">
          <w:pPr>
            <w:pStyle w:val="535555D5C9244E78BC04B7004262A9F6"/>
          </w:pPr>
          <w:r w:rsidRPr="00E24E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65"/>
    <w:rsid w:val="0053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565"/>
    <w:rPr>
      <w:color w:val="808080"/>
    </w:rPr>
  </w:style>
  <w:style w:type="paragraph" w:customStyle="1" w:styleId="535555D5C9244E78BC04B7004262A9F6">
    <w:name w:val="535555D5C9244E78BC04B7004262A9F6"/>
    <w:rsid w:val="005365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0D4170"/>
      </a:accent5>
      <a:accent6>
        <a:srgbClr val="439539"/>
      </a:accent6>
      <a:hlink>
        <a:srgbClr val="0070C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Lindsay, Stefanie</cp:lastModifiedBy>
  <cp:revision>2</cp:revision>
  <cp:lastPrinted>2015-11-16T19:34:00Z</cp:lastPrinted>
  <dcterms:created xsi:type="dcterms:W3CDTF">2016-09-19T18:56:00Z</dcterms:created>
  <dcterms:modified xsi:type="dcterms:W3CDTF">2016-09-19T18:56:00Z</dcterms:modified>
</cp:coreProperties>
</file>