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BE" w:rsidRPr="00AF6620" w:rsidRDefault="00780CBE" w:rsidP="00780CBE">
      <w:pPr>
        <w:pStyle w:val="Heading1"/>
        <w:spacing w:before="0"/>
        <w:rPr>
          <w:color w:val="000000" w:themeColor="text1"/>
        </w:rPr>
      </w:pPr>
      <w:r w:rsidRPr="00AF6620">
        <w:rPr>
          <w:color w:val="000000" w:themeColor="text1"/>
        </w:rPr>
        <w:t>Practice Profile</w:t>
      </w:r>
    </w:p>
    <w:p w:rsidR="00780CBE" w:rsidRPr="00AF6620" w:rsidRDefault="00780CBE" w:rsidP="00E511E7">
      <w:pPr>
        <w:spacing w:after="160" w:line="240" w:lineRule="auto"/>
        <w:rPr>
          <w:bCs/>
          <w:sz w:val="24"/>
          <w:szCs w:val="24"/>
        </w:rPr>
      </w:pPr>
      <w:r w:rsidRPr="00AF6620">
        <w:rPr>
          <w:bCs/>
          <w:iCs/>
          <w:sz w:val="24"/>
          <w:szCs w:val="24"/>
        </w:rP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AF6620">
        <w:rPr>
          <w:bCs/>
          <w:iCs/>
          <w:sz w:val="24"/>
          <w:szCs w:val="24"/>
        </w:rPr>
        <w:t>Hord’s</w:t>
      </w:r>
      <w:proofErr w:type="spellEnd"/>
      <w:r w:rsidRPr="00AF6620">
        <w:rPr>
          <w:bCs/>
          <w:iCs/>
          <w:sz w:val="24"/>
          <w:szCs w:val="24"/>
        </w:rPr>
        <w:t xml:space="preserve"> (2006) Innovation Configuration Mapping (NIRN, 2011).</w:t>
      </w:r>
    </w:p>
    <w:p w:rsidR="00780CBE" w:rsidRPr="00AF6620" w:rsidRDefault="00780CBE" w:rsidP="003865C5">
      <w:pPr>
        <w:spacing w:after="240" w:line="240" w:lineRule="auto"/>
        <w:rPr>
          <w:bCs/>
          <w:iCs/>
          <w:sz w:val="24"/>
          <w:szCs w:val="24"/>
        </w:rPr>
      </w:pPr>
      <w:r w:rsidRPr="00AF6620">
        <w:rPr>
          <w:bCs/>
          <w:iCs/>
          <w:sz w:val="24"/>
          <w:szCs w:val="24"/>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rsidR="00780CBE" w:rsidRPr="00E511E7" w:rsidRDefault="00780CBE" w:rsidP="003865C5">
      <w:pPr>
        <w:spacing w:after="0" w:line="240" w:lineRule="auto"/>
        <w:rPr>
          <w:rStyle w:val="Emphasis"/>
          <w:bCs w:val="0"/>
          <w:i w:val="0"/>
          <w:iCs w:val="0"/>
          <w:color w:val="000000" w:themeColor="text1"/>
          <w:sz w:val="28"/>
          <w:szCs w:val="28"/>
        </w:rPr>
      </w:pPr>
      <w:r w:rsidRPr="00E511E7">
        <w:rPr>
          <w:rStyle w:val="Emphasis"/>
          <w:color w:val="000000" w:themeColor="text1"/>
          <w:sz w:val="28"/>
          <w:szCs w:val="28"/>
        </w:rPr>
        <w:t>How to Use the Practice Profile</w:t>
      </w:r>
    </w:p>
    <w:p w:rsidR="00556233" w:rsidRDefault="00780CBE" w:rsidP="00447BD3">
      <w:pPr>
        <w:spacing w:line="240" w:lineRule="auto"/>
        <w:rPr>
          <w:bCs/>
          <w:iCs/>
          <w:sz w:val="24"/>
          <w:szCs w:val="24"/>
        </w:rPr>
        <w:sectPr w:rsidR="00556233" w:rsidSect="00BE145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080" w:bottom="720" w:left="1008" w:header="720" w:footer="720" w:gutter="0"/>
          <w:cols w:space="720"/>
          <w:docGrid w:linePitch="360"/>
        </w:sectPr>
      </w:pPr>
      <w:r w:rsidRPr="00AF6620">
        <w:rPr>
          <w:bCs/>
          <w:iCs/>
          <w:sz w:val="24"/>
          <w:szCs w:val="24"/>
        </w:rP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w:t>
      </w:r>
      <w:r w:rsidR="00556233">
        <w:rPr>
          <w:bCs/>
          <w:iCs/>
          <w:sz w:val="24"/>
          <w:szCs w:val="24"/>
        </w:rPr>
        <w:t>cklist</w:t>
      </w:r>
    </w:p>
    <w:p w:rsidR="001C2A4A" w:rsidRDefault="001C2A4A">
      <w:pPr>
        <w:rPr>
          <w:bCs/>
          <w:iCs/>
          <w:sz w:val="24"/>
          <w:szCs w:val="24"/>
        </w:rPr>
      </w:pPr>
    </w:p>
    <w:tbl>
      <w:tblPr>
        <w:tblStyle w:val="TableGrid"/>
        <w:tblW w:w="14115" w:type="dxa"/>
        <w:tblLook w:val="04A0" w:firstRow="1" w:lastRow="0" w:firstColumn="1" w:lastColumn="0" w:noHBand="0" w:noVBand="1"/>
      </w:tblPr>
      <w:tblGrid>
        <w:gridCol w:w="563"/>
        <w:gridCol w:w="2165"/>
        <w:gridCol w:w="3387"/>
        <w:gridCol w:w="2935"/>
        <w:gridCol w:w="2579"/>
        <w:gridCol w:w="2486"/>
      </w:tblGrid>
      <w:tr w:rsidR="00780CBE" w:rsidRPr="00251219" w:rsidTr="00267138">
        <w:trPr>
          <w:tblHeader/>
        </w:trPr>
        <w:tc>
          <w:tcPr>
            <w:tcW w:w="0" w:type="auto"/>
            <w:gridSpan w:val="6"/>
          </w:tcPr>
          <w:p w:rsidR="00780CBE" w:rsidRPr="00251219" w:rsidRDefault="00780CBE" w:rsidP="006D79EC">
            <w:pPr>
              <w:spacing w:after="40"/>
              <w:jc w:val="center"/>
              <w:rPr>
                <w:b/>
                <w:sz w:val="20"/>
                <w:szCs w:val="20"/>
              </w:rPr>
            </w:pPr>
            <w:r w:rsidRPr="006D79EC">
              <w:rPr>
                <w:b/>
              </w:rPr>
              <w:t xml:space="preserve">Foundations present in the implementation of each essential component: </w:t>
            </w:r>
            <w:r w:rsidRPr="006D79EC">
              <w:rPr>
                <w:i/>
              </w:rPr>
              <w:t>Commitment to the success of all students and to improving the quality of instruction.</w:t>
            </w:r>
          </w:p>
        </w:tc>
      </w:tr>
      <w:tr w:rsidR="00780CBE" w:rsidRPr="00251219" w:rsidTr="00267138">
        <w:trPr>
          <w:tblHeader/>
        </w:trPr>
        <w:tc>
          <w:tcPr>
            <w:tcW w:w="0" w:type="auto"/>
            <w:gridSpan w:val="6"/>
            <w:shd w:val="clear" w:color="auto" w:fill="DFD4BB"/>
          </w:tcPr>
          <w:p w:rsidR="00780CBE" w:rsidRPr="006D79EC" w:rsidRDefault="00D52ACD" w:rsidP="00BE1452">
            <w:pPr>
              <w:spacing w:before="40" w:after="40"/>
              <w:jc w:val="center"/>
              <w:rPr>
                <w:b/>
                <w:sz w:val="24"/>
                <w:szCs w:val="24"/>
              </w:rPr>
            </w:pPr>
            <w:r>
              <w:rPr>
                <w:b/>
                <w:sz w:val="24"/>
                <w:szCs w:val="24"/>
              </w:rPr>
              <w:t>Special Educ</w:t>
            </w:r>
            <w:r w:rsidR="00BE1452">
              <w:rPr>
                <w:b/>
                <w:sz w:val="24"/>
                <w:szCs w:val="24"/>
              </w:rPr>
              <w:t>ation</w:t>
            </w:r>
            <w:r w:rsidR="00EC6A78">
              <w:rPr>
                <w:b/>
                <w:sz w:val="24"/>
                <w:szCs w:val="24"/>
              </w:rPr>
              <w:t xml:space="preserve"> Process</w:t>
            </w:r>
          </w:p>
        </w:tc>
      </w:tr>
      <w:tr w:rsidR="004A4A41" w:rsidRPr="00251219" w:rsidTr="005F2EAC">
        <w:trPr>
          <w:trHeight w:val="1043"/>
          <w:tblHeader/>
        </w:trPr>
        <w:tc>
          <w:tcPr>
            <w:tcW w:w="2709" w:type="dxa"/>
            <w:gridSpan w:val="2"/>
            <w:vAlign w:val="center"/>
          </w:tcPr>
          <w:p w:rsidR="00780CBE" w:rsidRPr="006D79EC" w:rsidRDefault="00780CBE" w:rsidP="00A70867">
            <w:pPr>
              <w:jc w:val="center"/>
              <w:rPr>
                <w:b/>
                <w:sz w:val="24"/>
                <w:szCs w:val="24"/>
              </w:rPr>
            </w:pPr>
            <w:r w:rsidRPr="006D79EC">
              <w:rPr>
                <w:b/>
                <w:sz w:val="24"/>
                <w:szCs w:val="24"/>
              </w:rPr>
              <w:t>Essential Function</w:t>
            </w:r>
          </w:p>
        </w:tc>
        <w:tc>
          <w:tcPr>
            <w:tcW w:w="3392" w:type="dxa"/>
            <w:shd w:val="clear" w:color="auto" w:fill="auto"/>
            <w:vAlign w:val="center"/>
          </w:tcPr>
          <w:p w:rsidR="00780CBE" w:rsidRPr="006D79EC" w:rsidRDefault="006D79EC" w:rsidP="00A70867">
            <w:pPr>
              <w:jc w:val="center"/>
              <w:rPr>
                <w:b/>
                <w:sz w:val="24"/>
                <w:szCs w:val="24"/>
              </w:rPr>
            </w:pPr>
            <w:r w:rsidRPr="006D79EC">
              <w:rPr>
                <w:b/>
                <w:sz w:val="24"/>
                <w:szCs w:val="24"/>
              </w:rPr>
              <w:t>Exemplary P</w:t>
            </w:r>
            <w:r w:rsidR="00780CBE" w:rsidRPr="006D79EC">
              <w:rPr>
                <w:b/>
                <w:sz w:val="24"/>
                <w:szCs w:val="24"/>
              </w:rPr>
              <w:t>roficiency</w:t>
            </w:r>
          </w:p>
          <w:p w:rsidR="00780CBE" w:rsidRPr="006D79EC" w:rsidRDefault="00780CBE" w:rsidP="00A70867">
            <w:pPr>
              <w:jc w:val="center"/>
              <w:rPr>
                <w:b/>
                <w:sz w:val="24"/>
                <w:szCs w:val="24"/>
              </w:rPr>
            </w:pPr>
            <w:r w:rsidRPr="006D79EC">
              <w:rPr>
                <w:b/>
                <w:sz w:val="24"/>
                <w:szCs w:val="24"/>
              </w:rPr>
              <w:t>Ideal Implementation</w:t>
            </w:r>
          </w:p>
          <w:p w:rsidR="00780CBE" w:rsidRPr="006D79EC" w:rsidRDefault="00780CBE" w:rsidP="00A70867">
            <w:pPr>
              <w:jc w:val="center"/>
              <w:rPr>
                <w:b/>
                <w:sz w:val="24"/>
                <w:szCs w:val="24"/>
              </w:rPr>
            </w:pPr>
          </w:p>
        </w:tc>
        <w:tc>
          <w:tcPr>
            <w:tcW w:w="2975" w:type="dxa"/>
            <w:shd w:val="clear" w:color="auto" w:fill="auto"/>
            <w:vAlign w:val="center"/>
          </w:tcPr>
          <w:p w:rsidR="00780CBE" w:rsidRPr="006D79EC" w:rsidRDefault="00780CBE" w:rsidP="00A70867">
            <w:pPr>
              <w:jc w:val="center"/>
              <w:rPr>
                <w:b/>
                <w:sz w:val="24"/>
                <w:szCs w:val="24"/>
              </w:rPr>
            </w:pPr>
            <w:r w:rsidRPr="006D79EC">
              <w:rPr>
                <w:b/>
                <w:sz w:val="24"/>
                <w:szCs w:val="24"/>
              </w:rPr>
              <w:t>Proficient</w:t>
            </w:r>
          </w:p>
        </w:tc>
        <w:tc>
          <w:tcPr>
            <w:tcW w:w="2579" w:type="dxa"/>
            <w:shd w:val="clear" w:color="auto" w:fill="auto"/>
            <w:vAlign w:val="center"/>
          </w:tcPr>
          <w:p w:rsidR="00883D4A" w:rsidRPr="006D79EC" w:rsidRDefault="00883D4A" w:rsidP="00883D4A">
            <w:pPr>
              <w:spacing w:before="40"/>
              <w:jc w:val="center"/>
              <w:rPr>
                <w:b/>
                <w:sz w:val="24"/>
                <w:szCs w:val="24"/>
              </w:rPr>
            </w:pPr>
            <w:r w:rsidRPr="006D79EC">
              <w:rPr>
                <w:b/>
                <w:sz w:val="24"/>
                <w:szCs w:val="24"/>
              </w:rPr>
              <w:t xml:space="preserve">Close to Proficient  </w:t>
            </w:r>
          </w:p>
          <w:p w:rsidR="00780CBE" w:rsidRPr="006D79EC" w:rsidRDefault="00883D4A" w:rsidP="00883D4A">
            <w:pPr>
              <w:spacing w:after="60"/>
              <w:jc w:val="center"/>
              <w:rPr>
                <w:i/>
                <w:sz w:val="20"/>
                <w:szCs w:val="20"/>
              </w:rPr>
            </w:pPr>
            <w:r w:rsidRPr="006D79EC">
              <w:rPr>
                <w:i/>
                <w:sz w:val="20"/>
                <w:szCs w:val="20"/>
              </w:rPr>
              <w:t>(Skill is emerging, but not yet to ideal proficiency.  Coaching is recommended.)</w:t>
            </w:r>
          </w:p>
        </w:tc>
        <w:tc>
          <w:tcPr>
            <w:tcW w:w="2460" w:type="dxa"/>
            <w:shd w:val="clear" w:color="auto" w:fill="auto"/>
            <w:vAlign w:val="center"/>
          </w:tcPr>
          <w:p w:rsidR="00780CBE" w:rsidRPr="006D79EC" w:rsidRDefault="00883D4A" w:rsidP="00267138">
            <w:pPr>
              <w:spacing w:before="40" w:after="60"/>
              <w:jc w:val="center"/>
              <w:rPr>
                <w:b/>
              </w:rPr>
            </w:pPr>
            <w:r w:rsidRPr="006D79EC">
              <w:rPr>
                <w:b/>
                <w:sz w:val="24"/>
                <w:szCs w:val="24"/>
              </w:rPr>
              <w:t>Far from Proficient</w:t>
            </w:r>
            <w:r w:rsidRPr="006D79EC">
              <w:rPr>
                <w:i/>
              </w:rPr>
              <w:t xml:space="preserve"> </w:t>
            </w:r>
            <w:r w:rsidRPr="006D79EC">
              <w:rPr>
                <w:i/>
                <w:sz w:val="20"/>
                <w:szCs w:val="20"/>
              </w:rPr>
              <w:t>(Follow-up professional development and coaching is critical.)</w:t>
            </w:r>
          </w:p>
        </w:tc>
      </w:tr>
      <w:tr w:rsidR="00CA5B29" w:rsidRPr="00251219" w:rsidTr="005F2EAC">
        <w:trPr>
          <w:trHeight w:val="2744"/>
        </w:trPr>
        <w:tc>
          <w:tcPr>
            <w:tcW w:w="563" w:type="dxa"/>
            <w:vAlign w:val="center"/>
          </w:tcPr>
          <w:p w:rsidR="00B75F49" w:rsidRPr="00B16CD3" w:rsidRDefault="00B75F49" w:rsidP="00A70867">
            <w:pPr>
              <w:jc w:val="center"/>
              <w:rPr>
                <w:rFonts w:cs="Arial"/>
                <w:sz w:val="24"/>
                <w:szCs w:val="24"/>
              </w:rPr>
            </w:pPr>
            <w:r>
              <w:rPr>
                <w:rFonts w:cs="Arial"/>
                <w:sz w:val="24"/>
                <w:szCs w:val="24"/>
              </w:rPr>
              <w:t>1</w:t>
            </w:r>
          </w:p>
        </w:tc>
        <w:tc>
          <w:tcPr>
            <w:tcW w:w="2146" w:type="dxa"/>
            <w:vAlign w:val="center"/>
          </w:tcPr>
          <w:p w:rsidR="00B75F49" w:rsidRPr="00BA00FD" w:rsidRDefault="00B75F49" w:rsidP="00883D4A">
            <w:pPr>
              <w:rPr>
                <w:rFonts w:cs="Arial"/>
                <w:sz w:val="20"/>
                <w:szCs w:val="20"/>
              </w:rPr>
            </w:pPr>
            <w:r>
              <w:rPr>
                <w:rFonts w:cs="Arial"/>
                <w:sz w:val="20"/>
                <w:szCs w:val="20"/>
              </w:rPr>
              <w:t xml:space="preserve">Educators follow all steps in the </w:t>
            </w:r>
            <w:r w:rsidR="00883D4A">
              <w:rPr>
                <w:rFonts w:cs="Arial"/>
                <w:sz w:val="20"/>
                <w:szCs w:val="20"/>
              </w:rPr>
              <w:t xml:space="preserve">SPED </w:t>
            </w:r>
            <w:r>
              <w:rPr>
                <w:rFonts w:cs="Arial"/>
                <w:sz w:val="20"/>
                <w:szCs w:val="20"/>
              </w:rPr>
              <w:t xml:space="preserve">process to ensure compliance. </w:t>
            </w:r>
          </w:p>
        </w:tc>
        <w:tc>
          <w:tcPr>
            <w:tcW w:w="6367" w:type="dxa"/>
            <w:gridSpan w:val="2"/>
            <w:vAlign w:val="center"/>
          </w:tcPr>
          <w:p w:rsidR="00B75F49" w:rsidRDefault="00883D4A" w:rsidP="00D2400A">
            <w:pPr>
              <w:rPr>
                <w:sz w:val="20"/>
                <w:szCs w:val="20"/>
              </w:rPr>
            </w:pPr>
            <w:r>
              <w:rPr>
                <w:sz w:val="20"/>
                <w:szCs w:val="20"/>
              </w:rPr>
              <w:t>The Special Education Process</w:t>
            </w:r>
            <w:r w:rsidR="00C873F8">
              <w:rPr>
                <w:sz w:val="20"/>
                <w:szCs w:val="20"/>
              </w:rPr>
              <w:t xml:space="preserve"> </w:t>
            </w:r>
            <w:r w:rsidR="003C2F7E">
              <w:rPr>
                <w:sz w:val="20"/>
                <w:szCs w:val="20"/>
              </w:rPr>
              <w:t>includes. . .</w:t>
            </w:r>
            <w:r w:rsidR="00C873F8">
              <w:rPr>
                <w:sz w:val="20"/>
                <w:szCs w:val="20"/>
              </w:rPr>
              <w:t xml:space="preserve"> </w:t>
            </w:r>
          </w:p>
          <w:p w:rsidR="00C873F8" w:rsidRDefault="003C2F7E" w:rsidP="003C2F7E">
            <w:pPr>
              <w:pStyle w:val="ListParagraph"/>
              <w:numPr>
                <w:ilvl w:val="0"/>
                <w:numId w:val="20"/>
              </w:numPr>
              <w:rPr>
                <w:sz w:val="20"/>
                <w:szCs w:val="20"/>
              </w:rPr>
            </w:pPr>
            <w:r>
              <w:rPr>
                <w:sz w:val="20"/>
                <w:szCs w:val="20"/>
              </w:rPr>
              <w:t xml:space="preserve">Entry </w:t>
            </w:r>
            <w:r w:rsidR="00C873F8" w:rsidRPr="003C2F7E">
              <w:rPr>
                <w:sz w:val="20"/>
                <w:szCs w:val="20"/>
              </w:rPr>
              <w:t>steps: Referral</w:t>
            </w:r>
            <w:r w:rsidR="00565D48" w:rsidRPr="003C2F7E">
              <w:rPr>
                <w:sz w:val="20"/>
                <w:szCs w:val="20"/>
              </w:rPr>
              <w:t>, Evaluation &amp; Eligibility</w:t>
            </w:r>
          </w:p>
          <w:p w:rsidR="0086776A" w:rsidRDefault="003C2F7E" w:rsidP="0086776A">
            <w:pPr>
              <w:pStyle w:val="ListParagraph"/>
              <w:numPr>
                <w:ilvl w:val="0"/>
                <w:numId w:val="21"/>
              </w:numPr>
              <w:rPr>
                <w:sz w:val="20"/>
                <w:szCs w:val="20"/>
              </w:rPr>
            </w:pPr>
            <w:r>
              <w:rPr>
                <w:sz w:val="20"/>
                <w:szCs w:val="20"/>
              </w:rPr>
              <w:t>Ongoing processes: I</w:t>
            </w:r>
            <w:r w:rsidR="007314E1">
              <w:rPr>
                <w:sz w:val="20"/>
                <w:szCs w:val="20"/>
              </w:rPr>
              <w:t>ndividualized Education Program and</w:t>
            </w:r>
            <w:r>
              <w:rPr>
                <w:sz w:val="20"/>
                <w:szCs w:val="20"/>
              </w:rPr>
              <w:t xml:space="preserve"> Instruction &amp; </w:t>
            </w:r>
            <w:r w:rsidR="007314E1">
              <w:rPr>
                <w:sz w:val="20"/>
                <w:szCs w:val="20"/>
              </w:rPr>
              <w:t>Monitoring</w:t>
            </w:r>
            <w:r w:rsidR="0086776A">
              <w:rPr>
                <w:sz w:val="20"/>
                <w:szCs w:val="20"/>
              </w:rPr>
              <w:t xml:space="preserve"> </w:t>
            </w:r>
          </w:p>
          <w:p w:rsidR="003C2F7E" w:rsidRDefault="0086776A" w:rsidP="0086776A">
            <w:pPr>
              <w:pStyle w:val="ListParagraph"/>
              <w:numPr>
                <w:ilvl w:val="0"/>
                <w:numId w:val="21"/>
              </w:numPr>
              <w:rPr>
                <w:sz w:val="20"/>
                <w:szCs w:val="20"/>
              </w:rPr>
            </w:pPr>
            <w:r>
              <w:rPr>
                <w:sz w:val="20"/>
                <w:szCs w:val="20"/>
              </w:rPr>
              <w:t>Notification of procedural safeguards within five school days upon receipt of parent referral</w:t>
            </w:r>
          </w:p>
          <w:p w:rsidR="000F118A" w:rsidRDefault="000F118A" w:rsidP="0086776A">
            <w:pPr>
              <w:pStyle w:val="ListParagraph"/>
              <w:numPr>
                <w:ilvl w:val="0"/>
                <w:numId w:val="21"/>
              </w:numPr>
              <w:rPr>
                <w:sz w:val="20"/>
                <w:szCs w:val="20"/>
              </w:rPr>
            </w:pPr>
            <w:r>
              <w:rPr>
                <w:sz w:val="20"/>
                <w:szCs w:val="20"/>
              </w:rPr>
              <w:t>Eligibility is determined within 60 calendar days</w:t>
            </w:r>
          </w:p>
          <w:p w:rsidR="000F118A" w:rsidRPr="0086776A" w:rsidRDefault="000F118A" w:rsidP="0086776A">
            <w:pPr>
              <w:pStyle w:val="ListParagraph"/>
              <w:numPr>
                <w:ilvl w:val="0"/>
                <w:numId w:val="21"/>
              </w:numPr>
              <w:rPr>
                <w:sz w:val="20"/>
                <w:szCs w:val="20"/>
              </w:rPr>
            </w:pPr>
            <w:r>
              <w:rPr>
                <w:sz w:val="20"/>
                <w:szCs w:val="20"/>
              </w:rPr>
              <w:t>IEP team and goals are established, implemented, reviewed, etc.</w:t>
            </w:r>
          </w:p>
          <w:p w:rsidR="003E6789" w:rsidRDefault="003E6789" w:rsidP="003C2F7E">
            <w:pPr>
              <w:pStyle w:val="ListParagraph"/>
              <w:numPr>
                <w:ilvl w:val="0"/>
                <w:numId w:val="20"/>
              </w:numPr>
              <w:rPr>
                <w:sz w:val="20"/>
                <w:szCs w:val="20"/>
              </w:rPr>
            </w:pPr>
            <w:r>
              <w:rPr>
                <w:sz w:val="20"/>
                <w:szCs w:val="20"/>
              </w:rPr>
              <w:t>Annual Review</w:t>
            </w:r>
          </w:p>
          <w:p w:rsidR="00C873F8" w:rsidRPr="004C4754" w:rsidRDefault="00C873F8" w:rsidP="00D2400A">
            <w:pPr>
              <w:rPr>
                <w:sz w:val="20"/>
                <w:szCs w:val="20"/>
              </w:rPr>
            </w:pPr>
          </w:p>
        </w:tc>
        <w:tc>
          <w:tcPr>
            <w:tcW w:w="2579" w:type="dxa"/>
            <w:shd w:val="clear" w:color="auto" w:fill="auto"/>
            <w:vAlign w:val="center"/>
          </w:tcPr>
          <w:p w:rsidR="00B75F49" w:rsidRPr="004C4754" w:rsidRDefault="00B75F49" w:rsidP="00AE0D93">
            <w:pPr>
              <w:spacing w:before="40" w:after="40"/>
              <w:rPr>
                <w:sz w:val="20"/>
                <w:szCs w:val="24"/>
              </w:rPr>
            </w:pPr>
            <w:r>
              <w:rPr>
                <w:sz w:val="20"/>
                <w:szCs w:val="24"/>
              </w:rPr>
              <w:t>While elements of the process are followed, there are gaps to the extent to which best practices are followed (for example, referral and evaluation may be missing critical elements of data)</w:t>
            </w:r>
          </w:p>
        </w:tc>
        <w:tc>
          <w:tcPr>
            <w:tcW w:w="2460" w:type="dxa"/>
            <w:shd w:val="clear" w:color="auto" w:fill="auto"/>
            <w:vAlign w:val="center"/>
          </w:tcPr>
          <w:p w:rsidR="00B75F49" w:rsidRPr="004C4754" w:rsidRDefault="00B75F49" w:rsidP="00251015">
            <w:pPr>
              <w:rPr>
                <w:sz w:val="20"/>
                <w:szCs w:val="24"/>
              </w:rPr>
            </w:pPr>
            <w:r>
              <w:rPr>
                <w:sz w:val="20"/>
                <w:szCs w:val="24"/>
              </w:rPr>
              <w:t>Not following the process</w:t>
            </w:r>
          </w:p>
        </w:tc>
      </w:tr>
      <w:tr w:rsidR="004A4A41" w:rsidRPr="00251219" w:rsidTr="005F2EAC">
        <w:trPr>
          <w:trHeight w:val="692"/>
        </w:trPr>
        <w:tc>
          <w:tcPr>
            <w:tcW w:w="563" w:type="dxa"/>
            <w:vAlign w:val="center"/>
          </w:tcPr>
          <w:p w:rsidR="00362060" w:rsidRPr="00B16CD3" w:rsidRDefault="00362060" w:rsidP="00A70867">
            <w:pPr>
              <w:jc w:val="center"/>
              <w:rPr>
                <w:rFonts w:cs="Arial"/>
                <w:sz w:val="24"/>
                <w:szCs w:val="24"/>
              </w:rPr>
            </w:pPr>
            <w:r>
              <w:rPr>
                <w:rFonts w:cs="Arial"/>
                <w:sz w:val="24"/>
                <w:szCs w:val="24"/>
              </w:rPr>
              <w:t>2</w:t>
            </w:r>
          </w:p>
        </w:tc>
        <w:tc>
          <w:tcPr>
            <w:tcW w:w="2146" w:type="dxa"/>
            <w:vAlign w:val="center"/>
          </w:tcPr>
          <w:p w:rsidR="00362060" w:rsidRPr="009D5DED" w:rsidRDefault="003D644E" w:rsidP="003D644E">
            <w:pPr>
              <w:rPr>
                <w:rFonts w:cs="Arial"/>
                <w:sz w:val="20"/>
                <w:szCs w:val="20"/>
              </w:rPr>
            </w:pPr>
            <w:r>
              <w:rPr>
                <w:rFonts w:cs="Arial"/>
                <w:sz w:val="20"/>
                <w:szCs w:val="20"/>
              </w:rPr>
              <w:t>Educators utilize effective communication and data based decision making</w:t>
            </w:r>
            <w:r w:rsidR="00362060">
              <w:rPr>
                <w:rFonts w:cs="Arial"/>
                <w:sz w:val="20"/>
                <w:szCs w:val="20"/>
              </w:rPr>
              <w:t xml:space="preserve"> with parents and family members about the sped process and their rights.  </w:t>
            </w:r>
          </w:p>
        </w:tc>
        <w:tc>
          <w:tcPr>
            <w:tcW w:w="6367" w:type="dxa"/>
            <w:gridSpan w:val="2"/>
            <w:vAlign w:val="center"/>
          </w:tcPr>
          <w:p w:rsidR="003D644E" w:rsidRDefault="003D644E" w:rsidP="003D644E">
            <w:pPr>
              <w:rPr>
                <w:sz w:val="20"/>
                <w:szCs w:val="20"/>
              </w:rPr>
            </w:pPr>
            <w:r>
              <w:rPr>
                <w:sz w:val="20"/>
                <w:szCs w:val="20"/>
              </w:rPr>
              <w:t>E</w:t>
            </w:r>
            <w:r w:rsidR="00362060">
              <w:rPr>
                <w:sz w:val="20"/>
                <w:szCs w:val="20"/>
              </w:rPr>
              <w:t>ffective communication and data based decision making throughout the SPED process</w:t>
            </w:r>
            <w:r>
              <w:rPr>
                <w:sz w:val="20"/>
                <w:szCs w:val="20"/>
              </w:rPr>
              <w:t xml:space="preserve"> includes…</w:t>
            </w:r>
          </w:p>
          <w:p w:rsidR="002F7031" w:rsidRDefault="002F7031" w:rsidP="002F7031">
            <w:pPr>
              <w:pStyle w:val="ListParagraph"/>
              <w:numPr>
                <w:ilvl w:val="0"/>
                <w:numId w:val="21"/>
              </w:numPr>
              <w:rPr>
                <w:sz w:val="20"/>
                <w:szCs w:val="20"/>
              </w:rPr>
            </w:pPr>
            <w:r w:rsidRPr="003D644E">
              <w:rPr>
                <w:sz w:val="20"/>
                <w:szCs w:val="20"/>
              </w:rPr>
              <w:t xml:space="preserve">Implementing effective communication and </w:t>
            </w:r>
            <w:r w:rsidR="0086776A">
              <w:rPr>
                <w:sz w:val="20"/>
                <w:szCs w:val="20"/>
              </w:rPr>
              <w:t xml:space="preserve">use of </w:t>
            </w:r>
            <w:r w:rsidRPr="003D644E">
              <w:rPr>
                <w:sz w:val="20"/>
                <w:szCs w:val="20"/>
              </w:rPr>
              <w:t>data at entry steps, ongoing processes, annual review and transition practices</w:t>
            </w:r>
          </w:p>
          <w:p w:rsidR="002F7031" w:rsidRDefault="002F7031" w:rsidP="003D644E">
            <w:pPr>
              <w:pStyle w:val="ListParagraph"/>
              <w:numPr>
                <w:ilvl w:val="0"/>
                <w:numId w:val="21"/>
              </w:numPr>
              <w:rPr>
                <w:sz w:val="20"/>
                <w:szCs w:val="20"/>
              </w:rPr>
            </w:pPr>
            <w:r>
              <w:rPr>
                <w:sz w:val="20"/>
                <w:szCs w:val="20"/>
              </w:rPr>
              <w:t>Verbal and written communication is in the families’ native language</w:t>
            </w:r>
          </w:p>
          <w:p w:rsidR="002F7031" w:rsidRDefault="002F7031" w:rsidP="002F7031">
            <w:pPr>
              <w:pStyle w:val="ListParagraph"/>
              <w:numPr>
                <w:ilvl w:val="0"/>
                <w:numId w:val="21"/>
              </w:numPr>
              <w:rPr>
                <w:sz w:val="20"/>
                <w:szCs w:val="20"/>
              </w:rPr>
            </w:pPr>
            <w:r>
              <w:rPr>
                <w:sz w:val="20"/>
                <w:szCs w:val="20"/>
              </w:rPr>
              <w:t xml:space="preserve">Review of existing data </w:t>
            </w:r>
            <w:r w:rsidR="0086776A">
              <w:rPr>
                <w:sz w:val="20"/>
                <w:szCs w:val="20"/>
              </w:rPr>
              <w:t>within 30 days of referral</w:t>
            </w:r>
          </w:p>
          <w:p w:rsidR="003D644E" w:rsidRPr="005F2EAC" w:rsidRDefault="0086776A" w:rsidP="0086776A">
            <w:pPr>
              <w:pStyle w:val="ListParagraph"/>
              <w:numPr>
                <w:ilvl w:val="0"/>
                <w:numId w:val="21"/>
              </w:numPr>
              <w:rPr>
                <w:sz w:val="20"/>
                <w:szCs w:val="20"/>
              </w:rPr>
            </w:pPr>
            <w:r>
              <w:rPr>
                <w:sz w:val="20"/>
                <w:szCs w:val="20"/>
              </w:rPr>
              <w:t>Data reviewed regarding child’s strengths and needs is comprehensive (may include description of speech, language, hearing, motor skills, social/emotional/cognitive development, etc., as well as information from the parents)</w:t>
            </w:r>
          </w:p>
        </w:tc>
        <w:tc>
          <w:tcPr>
            <w:tcW w:w="2579" w:type="dxa"/>
            <w:shd w:val="clear" w:color="auto" w:fill="auto"/>
            <w:vAlign w:val="center"/>
          </w:tcPr>
          <w:p w:rsidR="00362060" w:rsidRPr="004C4754" w:rsidRDefault="006A0324" w:rsidP="0038100C">
            <w:pPr>
              <w:rPr>
                <w:sz w:val="20"/>
                <w:szCs w:val="24"/>
              </w:rPr>
            </w:pPr>
            <w:r>
              <w:rPr>
                <w:sz w:val="20"/>
                <w:szCs w:val="24"/>
              </w:rPr>
              <w:t>While elements of effective communication and data based decision making is implemented, there are gaps to which best practices are followed (for example, referral data may be missing comprehensive information of child’s strengths and needs)</w:t>
            </w:r>
          </w:p>
        </w:tc>
        <w:tc>
          <w:tcPr>
            <w:tcW w:w="2460" w:type="dxa"/>
            <w:shd w:val="clear" w:color="auto" w:fill="auto"/>
            <w:vAlign w:val="center"/>
          </w:tcPr>
          <w:p w:rsidR="00362060" w:rsidRPr="004C4754" w:rsidRDefault="006A0324" w:rsidP="0038100C">
            <w:pPr>
              <w:rPr>
                <w:sz w:val="20"/>
                <w:szCs w:val="24"/>
              </w:rPr>
            </w:pPr>
            <w:r>
              <w:rPr>
                <w:sz w:val="20"/>
                <w:szCs w:val="24"/>
              </w:rPr>
              <w:t>Not using effective communication and data based decision making; or data is insufficient</w:t>
            </w:r>
          </w:p>
        </w:tc>
      </w:tr>
      <w:tr w:rsidR="003D644E" w:rsidRPr="00251219" w:rsidTr="005F2EAC">
        <w:trPr>
          <w:trHeight w:val="1601"/>
        </w:trPr>
        <w:tc>
          <w:tcPr>
            <w:tcW w:w="563" w:type="dxa"/>
            <w:vAlign w:val="center"/>
          </w:tcPr>
          <w:p w:rsidR="003D644E" w:rsidRDefault="003D644E" w:rsidP="00A70867">
            <w:pPr>
              <w:jc w:val="center"/>
              <w:rPr>
                <w:rFonts w:cs="Arial"/>
                <w:sz w:val="24"/>
                <w:szCs w:val="24"/>
              </w:rPr>
            </w:pPr>
            <w:r>
              <w:rPr>
                <w:rFonts w:cs="Arial"/>
                <w:sz w:val="24"/>
                <w:szCs w:val="24"/>
              </w:rPr>
              <w:t>3</w:t>
            </w:r>
          </w:p>
        </w:tc>
        <w:tc>
          <w:tcPr>
            <w:tcW w:w="2146" w:type="dxa"/>
            <w:vAlign w:val="center"/>
          </w:tcPr>
          <w:p w:rsidR="003D644E" w:rsidRDefault="003D644E" w:rsidP="003D644E">
            <w:pPr>
              <w:rPr>
                <w:rFonts w:cs="Arial"/>
                <w:sz w:val="20"/>
                <w:szCs w:val="20"/>
              </w:rPr>
            </w:pPr>
            <w:r>
              <w:rPr>
                <w:rFonts w:cs="Arial"/>
                <w:sz w:val="20"/>
                <w:szCs w:val="20"/>
              </w:rPr>
              <w:t>Educators implement transition planning and services to ensure compliance.</w:t>
            </w:r>
          </w:p>
        </w:tc>
        <w:tc>
          <w:tcPr>
            <w:tcW w:w="6367" w:type="dxa"/>
            <w:gridSpan w:val="2"/>
            <w:vAlign w:val="center"/>
          </w:tcPr>
          <w:p w:rsidR="00D65FD7" w:rsidRDefault="00D65FD7" w:rsidP="00D65FD7">
            <w:pPr>
              <w:ind w:left="144"/>
              <w:rPr>
                <w:sz w:val="20"/>
                <w:szCs w:val="24"/>
              </w:rPr>
            </w:pPr>
            <w:r>
              <w:rPr>
                <w:sz w:val="20"/>
                <w:szCs w:val="24"/>
              </w:rPr>
              <w:t>T</w:t>
            </w:r>
            <w:r w:rsidR="003D644E">
              <w:rPr>
                <w:sz w:val="20"/>
                <w:szCs w:val="24"/>
              </w:rPr>
              <w:t>ransition planning and services for students</w:t>
            </w:r>
            <w:r>
              <w:rPr>
                <w:sz w:val="20"/>
                <w:szCs w:val="24"/>
              </w:rPr>
              <w:t xml:space="preserve"> includes</w:t>
            </w:r>
          </w:p>
          <w:p w:rsidR="003D644E" w:rsidRDefault="00D65FD7" w:rsidP="00D65FD7">
            <w:pPr>
              <w:pStyle w:val="ListParagraph"/>
              <w:numPr>
                <w:ilvl w:val="0"/>
                <w:numId w:val="22"/>
              </w:numPr>
              <w:rPr>
                <w:sz w:val="20"/>
                <w:szCs w:val="24"/>
              </w:rPr>
            </w:pPr>
            <w:r w:rsidRPr="00D65FD7">
              <w:rPr>
                <w:sz w:val="20"/>
                <w:szCs w:val="24"/>
              </w:rPr>
              <w:t>Timely considerations for</w:t>
            </w:r>
            <w:r w:rsidR="003D644E" w:rsidRPr="00D65FD7">
              <w:rPr>
                <w:sz w:val="20"/>
                <w:szCs w:val="24"/>
              </w:rPr>
              <w:t xml:space="preserve"> </w:t>
            </w:r>
            <w:r w:rsidR="000F118A">
              <w:rPr>
                <w:sz w:val="20"/>
                <w:szCs w:val="24"/>
              </w:rPr>
              <w:t xml:space="preserve">transition planning occurs particularly when the student is </w:t>
            </w:r>
            <w:r w:rsidR="003D644E" w:rsidRPr="00D65FD7">
              <w:rPr>
                <w:sz w:val="20"/>
                <w:szCs w:val="24"/>
              </w:rPr>
              <w:t xml:space="preserve">approaching age 16, or </w:t>
            </w:r>
            <w:r w:rsidR="000F118A">
              <w:rPr>
                <w:sz w:val="20"/>
                <w:szCs w:val="24"/>
              </w:rPr>
              <w:t xml:space="preserve">at the </w:t>
            </w:r>
            <w:r w:rsidR="003D644E" w:rsidRPr="00D65FD7">
              <w:rPr>
                <w:sz w:val="20"/>
                <w:szCs w:val="24"/>
              </w:rPr>
              <w:t>appropriate age.</w:t>
            </w:r>
          </w:p>
          <w:p w:rsidR="000F118A" w:rsidRPr="005F2EAC" w:rsidRDefault="00214BC2" w:rsidP="005F2EAC">
            <w:pPr>
              <w:pStyle w:val="ListParagraph"/>
              <w:numPr>
                <w:ilvl w:val="0"/>
                <w:numId w:val="22"/>
              </w:numPr>
              <w:rPr>
                <w:sz w:val="20"/>
                <w:szCs w:val="24"/>
              </w:rPr>
            </w:pPr>
            <w:r>
              <w:rPr>
                <w:sz w:val="20"/>
                <w:szCs w:val="24"/>
              </w:rPr>
              <w:t>Planning addresses student’s education, training, future employment, and independent living skills when appropriate</w:t>
            </w:r>
          </w:p>
        </w:tc>
        <w:tc>
          <w:tcPr>
            <w:tcW w:w="2579" w:type="dxa"/>
            <w:shd w:val="clear" w:color="auto" w:fill="auto"/>
            <w:vAlign w:val="center"/>
          </w:tcPr>
          <w:p w:rsidR="003D644E" w:rsidRPr="007E3725" w:rsidRDefault="004A4A41" w:rsidP="002D4A22">
            <w:pPr>
              <w:ind w:left="144"/>
              <w:rPr>
                <w:sz w:val="20"/>
                <w:szCs w:val="24"/>
              </w:rPr>
            </w:pPr>
            <w:r>
              <w:rPr>
                <w:sz w:val="20"/>
                <w:szCs w:val="24"/>
              </w:rPr>
              <w:t xml:space="preserve">While elements of effective transition planning and services for students is present, there are gaps in the process related to best practices. </w:t>
            </w:r>
          </w:p>
        </w:tc>
        <w:tc>
          <w:tcPr>
            <w:tcW w:w="2460" w:type="dxa"/>
            <w:shd w:val="clear" w:color="auto" w:fill="auto"/>
            <w:vAlign w:val="center"/>
          </w:tcPr>
          <w:p w:rsidR="003D644E" w:rsidRPr="007E3725" w:rsidRDefault="004A4A41" w:rsidP="002D4A22">
            <w:pPr>
              <w:pStyle w:val="ListParagraph"/>
              <w:ind w:left="234"/>
              <w:rPr>
                <w:sz w:val="20"/>
                <w:szCs w:val="24"/>
              </w:rPr>
            </w:pPr>
            <w:r>
              <w:rPr>
                <w:sz w:val="20"/>
                <w:szCs w:val="24"/>
              </w:rPr>
              <w:t xml:space="preserve">Not using effective implementation of transition planning and services. </w:t>
            </w:r>
          </w:p>
        </w:tc>
      </w:tr>
    </w:tbl>
    <w:p w:rsidR="00780CBE" w:rsidRDefault="00780CBE" w:rsidP="00A95BC4">
      <w:pPr>
        <w:autoSpaceDE w:val="0"/>
        <w:autoSpaceDN w:val="0"/>
        <w:adjustRightInd w:val="0"/>
        <w:spacing w:after="0" w:line="240" w:lineRule="auto"/>
        <w:rPr>
          <w:rFonts w:eastAsiaTheme="minorHAnsi" w:cs="Veljovic-Book"/>
          <w:sz w:val="16"/>
          <w:szCs w:val="16"/>
        </w:rPr>
      </w:pPr>
    </w:p>
    <w:p w:rsidR="006E0D7D" w:rsidRPr="002230E0" w:rsidRDefault="00F7277B" w:rsidP="00F7277B">
      <w:pPr>
        <w:autoSpaceDE w:val="0"/>
        <w:autoSpaceDN w:val="0"/>
        <w:adjustRightInd w:val="0"/>
        <w:spacing w:after="0" w:line="240" w:lineRule="auto"/>
        <w:rPr>
          <w:rFonts w:eastAsiaTheme="minorHAnsi" w:cs="Veljovic-Book"/>
          <w:sz w:val="20"/>
          <w:szCs w:val="20"/>
        </w:rPr>
      </w:pPr>
      <w:r w:rsidRPr="002230E0">
        <w:rPr>
          <w:rFonts w:eastAsiaTheme="minorHAnsi" w:cs="Veljovic-BookItalic"/>
          <w:iCs/>
          <w:sz w:val="20"/>
          <w:szCs w:val="20"/>
        </w:rPr>
        <w:t xml:space="preserve">Evidence:  </w:t>
      </w:r>
      <w:r w:rsidR="005F2EAC">
        <w:rPr>
          <w:rFonts w:eastAsiaTheme="minorHAnsi" w:cs="Veljovic-BookItalic"/>
          <w:iCs/>
          <w:sz w:val="20"/>
          <w:szCs w:val="20"/>
        </w:rPr>
        <w:t>SPED Process</w:t>
      </w:r>
      <w:r w:rsidR="00465309" w:rsidRPr="002230E0">
        <w:rPr>
          <w:rFonts w:eastAsiaTheme="minorHAnsi" w:cs="Veljovic-BookItalic"/>
          <w:iCs/>
          <w:sz w:val="20"/>
          <w:szCs w:val="20"/>
        </w:rPr>
        <w:t xml:space="preserve"> Fidelity Checklist</w:t>
      </w:r>
    </w:p>
    <w:sectPr w:rsidR="006E0D7D" w:rsidRPr="002230E0" w:rsidSect="002230E0">
      <w:pgSz w:w="15840" w:h="12240" w:orient="landscape"/>
      <w:pgMar w:top="720"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04" w:rsidRDefault="00564704" w:rsidP="00902389">
      <w:pPr>
        <w:spacing w:after="0" w:line="240" w:lineRule="auto"/>
      </w:pPr>
      <w:r>
        <w:separator/>
      </w:r>
    </w:p>
  </w:endnote>
  <w:endnote w:type="continuationSeparator" w:id="0">
    <w:p w:rsidR="00564704" w:rsidRDefault="00564704"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5" w:rsidRDefault="00A5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A8" w:rsidRDefault="00447BD3" w:rsidP="00447BD3">
    <w:pPr>
      <w:pBdr>
        <w:top w:val="single" w:sz="12" w:space="0" w:color="4BACC6"/>
      </w:pBdr>
      <w:tabs>
        <w:tab w:val="center" w:pos="4680"/>
        <w:tab w:val="right" w:pos="9360"/>
      </w:tabs>
      <w:spacing w:after="0" w:line="240" w:lineRule="auto"/>
      <w:rPr>
        <w:rFonts w:ascii="Calibri" w:eastAsia="Calibri" w:hAnsi="Calibri" w:cs="Times New Roman"/>
      </w:rPr>
    </w:pPr>
    <w:bookmarkStart w:id="0" w:name="_GoBack"/>
    <w:r w:rsidRPr="00447BD3">
      <w:rPr>
        <w:rFonts w:ascii="Calibri" w:eastAsia="Calibri" w:hAnsi="Calibri" w:cs="Times New Roman"/>
      </w:rPr>
      <w:t>Missouri SPDG</w:t>
    </w:r>
    <w:r w:rsidR="001C2A4A">
      <w:rPr>
        <w:rFonts w:ascii="Calibri" w:eastAsia="Calibri" w:hAnsi="Calibri" w:cs="Times New Roman"/>
      </w:rPr>
      <w:t>/Special Education Modules</w:t>
    </w:r>
    <w:r w:rsidRPr="00447BD3">
      <w:rPr>
        <w:rFonts w:ascii="Calibri" w:eastAsia="Calibri" w:hAnsi="Calibri" w:cs="Times New Roman"/>
      </w:rPr>
      <w:ptab w:relativeTo="margin" w:alignment="center" w:leader="none"/>
    </w:r>
    <w:r w:rsidRPr="00447BD3">
      <w:rPr>
        <w:rFonts w:ascii="Calibri" w:eastAsia="Calibri" w:hAnsi="Calibri" w:cs="Times New Roman"/>
      </w:rPr>
      <w:ptab w:relativeTo="margin" w:alignment="right" w:leader="none"/>
    </w:r>
    <w:r w:rsidR="00A531F5">
      <w:rPr>
        <w:rFonts w:ascii="Calibri" w:eastAsia="Calibri" w:hAnsi="Calibri" w:cs="Times New Roman"/>
      </w:rPr>
      <w:t>Special Education Process</w:t>
    </w:r>
  </w:p>
  <w:p w:rsidR="00556233" w:rsidRDefault="00A531F5" w:rsidP="00556233">
    <w:pPr>
      <w:pBdr>
        <w:top w:val="single" w:sz="12" w:space="0" w:color="4BACC6"/>
      </w:pBdr>
      <w:tabs>
        <w:tab w:val="center" w:pos="4680"/>
        <w:tab w:val="right" w:pos="9360"/>
      </w:tabs>
      <w:spacing w:after="0" w:line="240" w:lineRule="auto"/>
      <w:rPr>
        <w:rFonts w:ascii="Calibri" w:eastAsia="Calibri" w:hAnsi="Calibri" w:cs="Times New Roman"/>
      </w:rPr>
    </w:pPr>
    <w:r>
      <w:rPr>
        <w:rFonts w:ascii="Calibri" w:eastAsia="Calibri" w:hAnsi="Calibri" w:cs="Times New Roman"/>
      </w:rPr>
      <w:t>November</w:t>
    </w:r>
    <w:r w:rsidR="00BE1452">
      <w:rPr>
        <w:rFonts w:ascii="Calibri" w:eastAsia="Calibri" w:hAnsi="Calibri" w:cs="Times New Roman"/>
      </w:rPr>
      <w:t xml:space="preserve"> 2016</w:t>
    </w:r>
    <w:r w:rsidR="00447BD3" w:rsidRPr="00447BD3">
      <w:rPr>
        <w:rFonts w:ascii="Calibri" w:eastAsia="Calibri" w:hAnsi="Calibri" w:cs="Times New Roman"/>
      </w:rPr>
      <w:tab/>
    </w:r>
    <w:r w:rsidR="00447BD3" w:rsidRPr="00447BD3">
      <w:rPr>
        <w:rFonts w:ascii="Calibri" w:eastAsia="Calibri" w:hAnsi="Calibri" w:cs="Times New Roman"/>
      </w:rPr>
      <w:tab/>
    </w:r>
    <w:r w:rsidR="00447BD3" w:rsidRPr="00447BD3">
      <w:rPr>
        <w:rFonts w:ascii="Calibri" w:eastAsia="Calibri" w:hAnsi="Calibri" w:cs="Times New Roman"/>
      </w:rPr>
      <w:tab/>
    </w:r>
    <w:r w:rsidR="00447BD3">
      <w:rPr>
        <w:rFonts w:ascii="Calibri" w:eastAsia="Calibri" w:hAnsi="Calibri" w:cs="Times New Roman"/>
      </w:rPr>
      <w:tab/>
    </w:r>
    <w:r w:rsidR="00447BD3">
      <w:rPr>
        <w:rFonts w:ascii="Calibri" w:eastAsia="Calibri" w:hAnsi="Calibri" w:cs="Times New Roman"/>
      </w:rPr>
      <w:tab/>
    </w:r>
    <w:r w:rsidR="00447BD3">
      <w:rPr>
        <w:rFonts w:ascii="Calibri" w:eastAsia="Calibri" w:hAnsi="Calibri" w:cs="Times New Roman"/>
      </w:rPr>
      <w:tab/>
    </w:r>
    <w:r w:rsidR="00447BD3">
      <w:rPr>
        <w:rFonts w:ascii="Calibri" w:eastAsia="Calibri" w:hAnsi="Calibri" w:cs="Times New Roman"/>
      </w:rPr>
      <w:tab/>
      <w:t xml:space="preserve">   </w:t>
    </w:r>
    <w:r w:rsidR="00447BD3" w:rsidRPr="00447BD3">
      <w:rPr>
        <w:rFonts w:ascii="Calibri" w:eastAsia="Calibri" w:hAnsi="Calibri" w:cs="Times New Roman"/>
      </w:rPr>
      <w:t xml:space="preserve">Page </w:t>
    </w:r>
    <w:r w:rsidR="00447BD3" w:rsidRPr="00447BD3">
      <w:rPr>
        <w:rFonts w:ascii="Calibri" w:eastAsia="Calibri" w:hAnsi="Calibri" w:cs="Times New Roman"/>
      </w:rPr>
      <w:fldChar w:fldCharType="begin"/>
    </w:r>
    <w:r w:rsidR="00447BD3" w:rsidRPr="00447BD3">
      <w:rPr>
        <w:rFonts w:ascii="Calibri" w:eastAsia="Calibri" w:hAnsi="Calibri" w:cs="Times New Roman"/>
      </w:rPr>
      <w:instrText xml:space="preserve"> PAGE   \* MERGEFORMAT </w:instrText>
    </w:r>
    <w:r w:rsidR="00447BD3" w:rsidRPr="00447BD3">
      <w:rPr>
        <w:rFonts w:ascii="Calibri" w:eastAsia="Calibri" w:hAnsi="Calibri" w:cs="Times New Roman"/>
      </w:rPr>
      <w:fldChar w:fldCharType="separate"/>
    </w:r>
    <w:r>
      <w:rPr>
        <w:rFonts w:ascii="Calibri" w:eastAsia="Calibri" w:hAnsi="Calibri" w:cs="Times New Roman"/>
        <w:noProof/>
      </w:rPr>
      <w:t>3</w:t>
    </w:r>
    <w:r w:rsidR="00447BD3" w:rsidRPr="00447BD3">
      <w:rPr>
        <w:rFonts w:ascii="Calibri" w:eastAsia="Calibri" w:hAnsi="Calibri" w:cs="Times New Roman"/>
        <w:noProof/>
      </w:rPr>
      <w:fldChar w:fldCharType="end"/>
    </w:r>
  </w:p>
  <w:p w:rsidR="00556233" w:rsidRPr="00556233" w:rsidRDefault="00A531F5" w:rsidP="00556233">
    <w:pPr>
      <w:pBdr>
        <w:top w:val="single" w:sz="12" w:space="0" w:color="4BACC6"/>
      </w:pBdr>
      <w:tabs>
        <w:tab w:val="center" w:pos="4680"/>
        <w:tab w:val="right" w:pos="9360"/>
      </w:tabs>
      <w:spacing w:after="0" w:line="240" w:lineRule="auto"/>
      <w:rPr>
        <w:rFonts w:ascii="Calibri" w:eastAsia="Calibri" w:hAnsi="Calibri" w:cs="Times New Roman"/>
        <w:noProof/>
      </w:rPr>
    </w:pPr>
    <w:sdt>
      <w:sdtPr>
        <w:rPr>
          <w:bCs/>
          <w:iCs/>
          <w:sz w:val="24"/>
          <w:szCs w:val="24"/>
        </w:rPr>
        <w:alias w:val="Creative Commons License"/>
        <w:tag w:val="Creative Commons License"/>
        <w:id w:val="676697895"/>
        <w:lock w:val="sdtContentLocked"/>
        <w:placeholder>
          <w:docPart w:val="19E6DC0E418E44BBB9817BEFFC701ACC"/>
        </w:placeholder>
      </w:sdtPr>
      <w:sdtEndPr/>
      <w:sdtContent>
        <w:r w:rsidR="00556233">
          <w:rPr>
            <w:noProof/>
          </w:rPr>
          <w:drawing>
            <wp:inline distT="0" distB="0" distL="0" distR="0" wp14:anchorId="55CA2484" wp14:editId="46E7CA66">
              <wp:extent cx="822960" cy="27432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solidFill>
                        <a:srgbClr val="FFFFFF"/>
                      </a:solidFill>
                      <a:ln>
                        <a:noFill/>
                      </a:ln>
                    </pic:spPr>
                  </pic:pic>
                </a:graphicData>
              </a:graphic>
            </wp:inline>
          </w:drawing>
        </w:r>
        <w:r w:rsidR="00556233">
          <w:rPr>
            <w:bCs/>
            <w:iCs/>
            <w:sz w:val="24"/>
            <w:szCs w:val="24"/>
          </w:rPr>
          <w:t xml:space="preserve">This work is licensed under a </w:t>
        </w:r>
        <w:hyperlink r:id="rId2" w:history="1">
          <w:r w:rsidR="00556233">
            <w:rPr>
              <w:rStyle w:val="Hyperlink"/>
            </w:rPr>
            <w:t>Creative Commons Attribution-NonCommercial-NoDerivatives 4.0 International License</w:t>
          </w:r>
        </w:hyperlink>
        <w:r w:rsidR="00556233">
          <w:rPr>
            <w:bCs/>
            <w:iCs/>
            <w:sz w:val="24"/>
            <w:szCs w:val="24"/>
          </w:rPr>
          <w:t>.</w:t>
        </w:r>
      </w:sdtContent>
    </w:sdt>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5" w:rsidRDefault="00A5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04" w:rsidRDefault="00564704" w:rsidP="00902389">
      <w:pPr>
        <w:spacing w:after="0" w:line="240" w:lineRule="auto"/>
      </w:pPr>
      <w:r>
        <w:separator/>
      </w:r>
    </w:p>
  </w:footnote>
  <w:footnote w:type="continuationSeparator" w:id="0">
    <w:p w:rsidR="00564704" w:rsidRDefault="00564704" w:rsidP="0090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5" w:rsidRDefault="00A5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5" w:rsidRDefault="00A53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5" w:rsidRDefault="00A53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4E90"/>
    <w:multiLevelType w:val="hybridMultilevel"/>
    <w:tmpl w:val="73F6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D7D5D"/>
    <w:multiLevelType w:val="hybridMultilevel"/>
    <w:tmpl w:val="EEF82C9A"/>
    <w:lvl w:ilvl="0" w:tplc="04090001">
      <w:start w:val="1"/>
      <w:numFmt w:val="bullet"/>
      <w:lvlText w:val=""/>
      <w:lvlJc w:val="left"/>
      <w:pPr>
        <w:tabs>
          <w:tab w:val="num" w:pos="594"/>
        </w:tabs>
        <w:ind w:left="234" w:hanging="144"/>
      </w:pPr>
      <w:rPr>
        <w:rFonts w:ascii="Symbol" w:hAnsi="Symbol" w:hint="default"/>
      </w:rPr>
    </w:lvl>
    <w:lvl w:ilvl="1" w:tplc="04090003">
      <w:start w:val="1"/>
      <w:numFmt w:val="bullet"/>
      <w:lvlText w:val="o"/>
      <w:lvlJc w:val="left"/>
      <w:pPr>
        <w:tabs>
          <w:tab w:val="num" w:pos="1314"/>
        </w:tabs>
        <w:ind w:left="1314" w:hanging="360"/>
      </w:pPr>
      <w:rPr>
        <w:rFonts w:ascii="Courier New" w:hAnsi="Courier New" w:cs="Courier New" w:hint="default"/>
      </w:rPr>
    </w:lvl>
    <w:lvl w:ilvl="2" w:tplc="04090005">
      <w:start w:val="1"/>
      <w:numFmt w:val="bullet"/>
      <w:lvlText w:val=""/>
      <w:lvlJc w:val="left"/>
      <w:pPr>
        <w:tabs>
          <w:tab w:val="num" w:pos="2034"/>
        </w:tabs>
        <w:ind w:left="2034" w:hanging="360"/>
      </w:pPr>
      <w:rPr>
        <w:rFonts w:ascii="Wingdings" w:hAnsi="Wingdings" w:hint="default"/>
      </w:rPr>
    </w:lvl>
    <w:lvl w:ilvl="3" w:tplc="04090001">
      <w:start w:val="1"/>
      <w:numFmt w:val="bullet"/>
      <w:lvlText w:val=""/>
      <w:lvlJc w:val="left"/>
      <w:pPr>
        <w:tabs>
          <w:tab w:val="num" w:pos="2754"/>
        </w:tabs>
        <w:ind w:left="2754" w:hanging="360"/>
      </w:pPr>
      <w:rPr>
        <w:rFonts w:ascii="Symbol" w:hAnsi="Symbol" w:hint="default"/>
      </w:rPr>
    </w:lvl>
    <w:lvl w:ilvl="4" w:tplc="04090003">
      <w:start w:val="1"/>
      <w:numFmt w:val="bullet"/>
      <w:lvlText w:val="o"/>
      <w:lvlJc w:val="left"/>
      <w:pPr>
        <w:tabs>
          <w:tab w:val="num" w:pos="3474"/>
        </w:tabs>
        <w:ind w:left="3474" w:hanging="360"/>
      </w:pPr>
      <w:rPr>
        <w:rFonts w:ascii="Courier New" w:hAnsi="Courier New" w:cs="Courier New" w:hint="default"/>
      </w:rPr>
    </w:lvl>
    <w:lvl w:ilvl="5" w:tplc="04090005">
      <w:start w:val="1"/>
      <w:numFmt w:val="bullet"/>
      <w:lvlText w:val=""/>
      <w:lvlJc w:val="left"/>
      <w:pPr>
        <w:tabs>
          <w:tab w:val="num" w:pos="4194"/>
        </w:tabs>
        <w:ind w:left="4194" w:hanging="360"/>
      </w:pPr>
      <w:rPr>
        <w:rFonts w:ascii="Wingdings" w:hAnsi="Wingdings" w:hint="default"/>
      </w:rPr>
    </w:lvl>
    <w:lvl w:ilvl="6" w:tplc="04090001">
      <w:start w:val="1"/>
      <w:numFmt w:val="bullet"/>
      <w:lvlText w:val=""/>
      <w:lvlJc w:val="left"/>
      <w:pPr>
        <w:tabs>
          <w:tab w:val="num" w:pos="4914"/>
        </w:tabs>
        <w:ind w:left="4914" w:hanging="360"/>
      </w:pPr>
      <w:rPr>
        <w:rFonts w:ascii="Symbol" w:hAnsi="Symbol" w:hint="default"/>
      </w:rPr>
    </w:lvl>
    <w:lvl w:ilvl="7" w:tplc="04090003">
      <w:start w:val="1"/>
      <w:numFmt w:val="bullet"/>
      <w:lvlText w:val="o"/>
      <w:lvlJc w:val="left"/>
      <w:pPr>
        <w:tabs>
          <w:tab w:val="num" w:pos="5634"/>
        </w:tabs>
        <w:ind w:left="5634" w:hanging="360"/>
      </w:pPr>
      <w:rPr>
        <w:rFonts w:ascii="Courier New" w:hAnsi="Courier New" w:cs="Courier New" w:hint="default"/>
      </w:rPr>
    </w:lvl>
    <w:lvl w:ilvl="8" w:tplc="04090005">
      <w:start w:val="1"/>
      <w:numFmt w:val="bullet"/>
      <w:lvlText w:val=""/>
      <w:lvlJc w:val="left"/>
      <w:pPr>
        <w:tabs>
          <w:tab w:val="num" w:pos="6354"/>
        </w:tabs>
        <w:ind w:left="6354" w:hanging="360"/>
      </w:pPr>
      <w:rPr>
        <w:rFonts w:ascii="Wingdings" w:hAnsi="Wingdings" w:hint="default"/>
      </w:rPr>
    </w:lvl>
  </w:abstractNum>
  <w:abstractNum w:abstractNumId="4" w15:restartNumberingAfterBreak="0">
    <w:nsid w:val="33CC48B6"/>
    <w:multiLevelType w:val="hybridMultilevel"/>
    <w:tmpl w:val="790E71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9ED05EF"/>
    <w:multiLevelType w:val="hybridMultilevel"/>
    <w:tmpl w:val="BA9A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A090C"/>
    <w:multiLevelType w:val="hybridMultilevel"/>
    <w:tmpl w:val="3A22B9AA"/>
    <w:lvl w:ilvl="0" w:tplc="31F0152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F56DCB"/>
    <w:multiLevelType w:val="hybridMultilevel"/>
    <w:tmpl w:val="AA86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424D4"/>
    <w:multiLevelType w:val="hybridMultilevel"/>
    <w:tmpl w:val="1C86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94C5F"/>
    <w:multiLevelType w:val="hybridMultilevel"/>
    <w:tmpl w:val="2CCC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65D3C"/>
    <w:multiLevelType w:val="hybridMultilevel"/>
    <w:tmpl w:val="15301BEC"/>
    <w:lvl w:ilvl="0" w:tplc="55A4CFA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B27D5"/>
    <w:multiLevelType w:val="hybridMultilevel"/>
    <w:tmpl w:val="7B76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0"/>
  </w:num>
  <w:num w:numId="5">
    <w:abstractNumId w:val="15"/>
  </w:num>
  <w:num w:numId="6">
    <w:abstractNumId w:val="13"/>
  </w:num>
  <w:num w:numId="7">
    <w:abstractNumId w:val="6"/>
  </w:num>
  <w:num w:numId="8">
    <w:abstractNumId w:val="1"/>
  </w:num>
  <w:num w:numId="9">
    <w:abstractNumId w:val="18"/>
  </w:num>
  <w:num w:numId="10">
    <w:abstractNumId w:val="9"/>
  </w:num>
  <w:num w:numId="11">
    <w:abstractNumId w:val="20"/>
  </w:num>
  <w:num w:numId="12">
    <w:abstractNumId w:val="19"/>
  </w:num>
  <w:num w:numId="13">
    <w:abstractNumId w:val="17"/>
  </w:num>
  <w:num w:numId="14">
    <w:abstractNumId w:val="7"/>
  </w:num>
  <w:num w:numId="15">
    <w:abstractNumId w:val="3"/>
  </w:num>
  <w:num w:numId="16">
    <w:abstractNumId w:val="16"/>
  </w:num>
  <w:num w:numId="17">
    <w:abstractNumId w:val="21"/>
  </w:num>
  <w:num w:numId="18">
    <w:abstractNumId w:val="12"/>
  </w:num>
  <w:num w:numId="19">
    <w:abstractNumId w:val="2"/>
  </w:num>
  <w:num w:numId="20">
    <w:abstractNumId w:val="5"/>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67"/>
    <w:rsid w:val="00021452"/>
    <w:rsid w:val="00051948"/>
    <w:rsid w:val="00090E5F"/>
    <w:rsid w:val="000B0415"/>
    <w:rsid w:val="000E7FC3"/>
    <w:rsid w:val="000F118A"/>
    <w:rsid w:val="000F56EB"/>
    <w:rsid w:val="001234D2"/>
    <w:rsid w:val="00141A1D"/>
    <w:rsid w:val="001A1CA6"/>
    <w:rsid w:val="001C2A4A"/>
    <w:rsid w:val="00214BC2"/>
    <w:rsid w:val="002230E0"/>
    <w:rsid w:val="00247F1A"/>
    <w:rsid w:val="00251015"/>
    <w:rsid w:val="00251219"/>
    <w:rsid w:val="00255E01"/>
    <w:rsid w:val="0026477A"/>
    <w:rsid w:val="00267138"/>
    <w:rsid w:val="00272C29"/>
    <w:rsid w:val="00280F2C"/>
    <w:rsid w:val="00296239"/>
    <w:rsid w:val="002A0C54"/>
    <w:rsid w:val="002B4D6C"/>
    <w:rsid w:val="002D4A22"/>
    <w:rsid w:val="002D6FF7"/>
    <w:rsid w:val="002F7031"/>
    <w:rsid w:val="002F7748"/>
    <w:rsid w:val="003112FE"/>
    <w:rsid w:val="003445C2"/>
    <w:rsid w:val="00350296"/>
    <w:rsid w:val="003544C0"/>
    <w:rsid w:val="003609E1"/>
    <w:rsid w:val="00362060"/>
    <w:rsid w:val="00362221"/>
    <w:rsid w:val="00372EA2"/>
    <w:rsid w:val="0038100C"/>
    <w:rsid w:val="003865C5"/>
    <w:rsid w:val="003B13AC"/>
    <w:rsid w:val="003C2F7E"/>
    <w:rsid w:val="003D2FE1"/>
    <w:rsid w:val="003D644E"/>
    <w:rsid w:val="003D71A2"/>
    <w:rsid w:val="003E4FE1"/>
    <w:rsid w:val="003E6789"/>
    <w:rsid w:val="00410816"/>
    <w:rsid w:val="00421D59"/>
    <w:rsid w:val="004340B0"/>
    <w:rsid w:val="00447BD3"/>
    <w:rsid w:val="00456598"/>
    <w:rsid w:val="00457D67"/>
    <w:rsid w:val="004645DB"/>
    <w:rsid w:val="00465309"/>
    <w:rsid w:val="004A4A41"/>
    <w:rsid w:val="004A548E"/>
    <w:rsid w:val="004C4754"/>
    <w:rsid w:val="004E0CE1"/>
    <w:rsid w:val="0051497F"/>
    <w:rsid w:val="00516BEA"/>
    <w:rsid w:val="0052396B"/>
    <w:rsid w:val="00530301"/>
    <w:rsid w:val="005458FC"/>
    <w:rsid w:val="005504A3"/>
    <w:rsid w:val="00556233"/>
    <w:rsid w:val="00564704"/>
    <w:rsid w:val="00565D48"/>
    <w:rsid w:val="005672F8"/>
    <w:rsid w:val="005812C3"/>
    <w:rsid w:val="005C495B"/>
    <w:rsid w:val="005D4BA1"/>
    <w:rsid w:val="005E1107"/>
    <w:rsid w:val="005E5F67"/>
    <w:rsid w:val="005F2EAC"/>
    <w:rsid w:val="005F6E31"/>
    <w:rsid w:val="006028C2"/>
    <w:rsid w:val="006269A2"/>
    <w:rsid w:val="00651AE6"/>
    <w:rsid w:val="00654A93"/>
    <w:rsid w:val="00660425"/>
    <w:rsid w:val="00662CA7"/>
    <w:rsid w:val="00673E30"/>
    <w:rsid w:val="00690029"/>
    <w:rsid w:val="006A0324"/>
    <w:rsid w:val="006A687E"/>
    <w:rsid w:val="006B5F86"/>
    <w:rsid w:val="006D79EC"/>
    <w:rsid w:val="006E0D7D"/>
    <w:rsid w:val="006E250A"/>
    <w:rsid w:val="00705AB9"/>
    <w:rsid w:val="0071149B"/>
    <w:rsid w:val="007314E1"/>
    <w:rsid w:val="007516F3"/>
    <w:rsid w:val="00780CBE"/>
    <w:rsid w:val="0078408D"/>
    <w:rsid w:val="00784AA8"/>
    <w:rsid w:val="00786EED"/>
    <w:rsid w:val="007B57C2"/>
    <w:rsid w:val="007B6FE2"/>
    <w:rsid w:val="007E3725"/>
    <w:rsid w:val="007E598E"/>
    <w:rsid w:val="007E6E54"/>
    <w:rsid w:val="00820AE2"/>
    <w:rsid w:val="0082523B"/>
    <w:rsid w:val="00863205"/>
    <w:rsid w:val="00867352"/>
    <w:rsid w:val="0086776A"/>
    <w:rsid w:val="0087212C"/>
    <w:rsid w:val="00880AFC"/>
    <w:rsid w:val="00881BD6"/>
    <w:rsid w:val="00883D4A"/>
    <w:rsid w:val="008C6151"/>
    <w:rsid w:val="008D594D"/>
    <w:rsid w:val="008D5EFB"/>
    <w:rsid w:val="008E7369"/>
    <w:rsid w:val="00900D28"/>
    <w:rsid w:val="00902389"/>
    <w:rsid w:val="00951369"/>
    <w:rsid w:val="00974D7D"/>
    <w:rsid w:val="00991B90"/>
    <w:rsid w:val="009D5DED"/>
    <w:rsid w:val="009F0CC7"/>
    <w:rsid w:val="00A200A6"/>
    <w:rsid w:val="00A310F1"/>
    <w:rsid w:val="00A3427B"/>
    <w:rsid w:val="00A522F9"/>
    <w:rsid w:val="00A52514"/>
    <w:rsid w:val="00A531F5"/>
    <w:rsid w:val="00A54CF1"/>
    <w:rsid w:val="00A643E5"/>
    <w:rsid w:val="00A87DFB"/>
    <w:rsid w:val="00A95BC4"/>
    <w:rsid w:val="00A962AE"/>
    <w:rsid w:val="00AB5AEC"/>
    <w:rsid w:val="00AE0D93"/>
    <w:rsid w:val="00AF6620"/>
    <w:rsid w:val="00B12866"/>
    <w:rsid w:val="00B16CD3"/>
    <w:rsid w:val="00B16D3A"/>
    <w:rsid w:val="00B40F0E"/>
    <w:rsid w:val="00B65693"/>
    <w:rsid w:val="00B72D76"/>
    <w:rsid w:val="00B749B8"/>
    <w:rsid w:val="00B75F49"/>
    <w:rsid w:val="00B9719B"/>
    <w:rsid w:val="00BA00FD"/>
    <w:rsid w:val="00BE1452"/>
    <w:rsid w:val="00BE2149"/>
    <w:rsid w:val="00BE6649"/>
    <w:rsid w:val="00C41FE3"/>
    <w:rsid w:val="00C61130"/>
    <w:rsid w:val="00C676D3"/>
    <w:rsid w:val="00C855EA"/>
    <w:rsid w:val="00C873F8"/>
    <w:rsid w:val="00CA5B29"/>
    <w:rsid w:val="00CB6BA1"/>
    <w:rsid w:val="00CD1C5D"/>
    <w:rsid w:val="00CD4909"/>
    <w:rsid w:val="00D212C4"/>
    <w:rsid w:val="00D2400A"/>
    <w:rsid w:val="00D41CF7"/>
    <w:rsid w:val="00D4707D"/>
    <w:rsid w:val="00D52ACD"/>
    <w:rsid w:val="00D65FD7"/>
    <w:rsid w:val="00D70807"/>
    <w:rsid w:val="00DD71AC"/>
    <w:rsid w:val="00DE0985"/>
    <w:rsid w:val="00DF7318"/>
    <w:rsid w:val="00E135AD"/>
    <w:rsid w:val="00E366F1"/>
    <w:rsid w:val="00E511E7"/>
    <w:rsid w:val="00E64A6C"/>
    <w:rsid w:val="00E74501"/>
    <w:rsid w:val="00E74674"/>
    <w:rsid w:val="00EB4732"/>
    <w:rsid w:val="00EC4625"/>
    <w:rsid w:val="00EC6A78"/>
    <w:rsid w:val="00EC73E9"/>
    <w:rsid w:val="00EF03D1"/>
    <w:rsid w:val="00EF4F5C"/>
    <w:rsid w:val="00F472E9"/>
    <w:rsid w:val="00F616C2"/>
    <w:rsid w:val="00F7277B"/>
    <w:rsid w:val="00F72F3C"/>
    <w:rsid w:val="00F85315"/>
    <w:rsid w:val="00FD34B6"/>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C44B3"/>
  <w15:docId w15:val="{0ADAD02C-4F54-4304-BCBA-EDAA224F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67"/>
    <w:rPr>
      <w:rFonts w:eastAsiaTheme="minorEastAsia"/>
    </w:rPr>
  </w:style>
  <w:style w:type="paragraph" w:styleId="Heading1">
    <w:name w:val="heading 1"/>
    <w:basedOn w:val="Normal"/>
    <w:next w:val="Normal"/>
    <w:link w:val="Heading1Char"/>
    <w:uiPriority w:val="9"/>
    <w:qFormat/>
    <w:rsid w:val="00780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basedOn w:val="DefaultParagraphFont"/>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basedOn w:val="DefaultParagraphFont"/>
    <w:link w:val="CommentText"/>
    <w:uiPriority w:val="99"/>
    <w:semiHidden/>
    <w:rsid w:val="003609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basedOn w:val="CommentTextChar"/>
    <w:link w:val="CommentSubject"/>
    <w:uiPriority w:val="99"/>
    <w:semiHidden/>
    <w:rsid w:val="003609E1"/>
    <w:rPr>
      <w:rFonts w:eastAsiaTheme="minorEastAsia"/>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E1"/>
    <w:rPr>
      <w:rFonts w:ascii="Tahoma" w:eastAsiaTheme="minorEastAsia"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89"/>
    <w:rPr>
      <w:rFonts w:eastAsiaTheme="minorEastAsia"/>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89"/>
    <w:rPr>
      <w:rFonts w:eastAsiaTheme="minorEastAsia"/>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7D"/>
    <w:rPr>
      <w:rFonts w:eastAsiaTheme="minorEastAsia"/>
      <w:sz w:val="20"/>
      <w:szCs w:val="20"/>
    </w:rPr>
  </w:style>
  <w:style w:type="character" w:styleId="FootnoteReference">
    <w:name w:val="footnote reference"/>
    <w:basedOn w:val="DefaultParagraphFont"/>
    <w:uiPriority w:val="99"/>
    <w:semiHidden/>
    <w:unhideWhenUsed/>
    <w:rsid w:val="006E0D7D"/>
    <w:rPr>
      <w:vertAlign w:val="superscript"/>
    </w:rPr>
  </w:style>
  <w:style w:type="character" w:customStyle="1" w:styleId="Heading1Char">
    <w:name w:val="Heading 1 Char"/>
    <w:basedOn w:val="DefaultParagraphFont"/>
    <w:link w:val="Heading1"/>
    <w:uiPriority w:val="9"/>
    <w:rsid w:val="00780CBE"/>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PlaceholderText">
    <w:name w:val="Placeholder Text"/>
    <w:basedOn w:val="DefaultParagraphFont"/>
    <w:uiPriority w:val="99"/>
    <w:semiHidden/>
    <w:rsid w:val="00556233"/>
    <w:rPr>
      <w:color w:val="808080"/>
    </w:rPr>
  </w:style>
  <w:style w:type="character" w:styleId="Hyperlink">
    <w:name w:val="Hyperlink"/>
    <w:basedOn w:val="DefaultParagraphFont"/>
    <w:uiPriority w:val="99"/>
    <w:unhideWhenUsed/>
    <w:rsid w:val="00556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6DC0E418E44BBB9817BEFFC701ACC"/>
        <w:category>
          <w:name w:val="General"/>
          <w:gallery w:val="placeholder"/>
        </w:category>
        <w:types>
          <w:type w:val="bbPlcHdr"/>
        </w:types>
        <w:behaviors>
          <w:behavior w:val="content"/>
        </w:behaviors>
        <w:guid w:val="{1E022675-F39C-4657-98A3-518F6215A29D}"/>
      </w:docPartPr>
      <w:docPartBody>
        <w:p w:rsidR="00341802" w:rsidRDefault="00EA6E6F" w:rsidP="00EA6E6F">
          <w:pPr>
            <w:pStyle w:val="19E6DC0E418E44BBB9817BEFFC701ACC"/>
          </w:pPr>
          <w:r w:rsidRPr="00630B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6F"/>
    <w:rsid w:val="00184E22"/>
    <w:rsid w:val="00341802"/>
    <w:rsid w:val="00815C31"/>
    <w:rsid w:val="00EA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E6F"/>
    <w:rPr>
      <w:color w:val="808080"/>
    </w:rPr>
  </w:style>
  <w:style w:type="paragraph" w:customStyle="1" w:styleId="19E6DC0E418E44BBB9817BEFFC701ACC">
    <w:name w:val="19E6DC0E418E44BBB9817BEFFC701ACC"/>
    <w:rsid w:val="00EA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5418-7EAE-4510-B0CA-7BEE0AE7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Ronda</dc:creator>
  <cp:lastModifiedBy>Lindsay, Stefanie</cp:lastModifiedBy>
  <cp:revision>4</cp:revision>
  <cp:lastPrinted>2015-09-03T23:06:00Z</cp:lastPrinted>
  <dcterms:created xsi:type="dcterms:W3CDTF">2016-11-03T18:25:00Z</dcterms:created>
  <dcterms:modified xsi:type="dcterms:W3CDTF">2016-11-03T18:46:00Z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