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3930AE93" w:rsidR="00372A4D" w:rsidRDefault="00D877BC" w:rsidP="00372A4D">
      <w:pPr>
        <w:jc w:val="center"/>
        <w:rPr>
          <w:b/>
        </w:rPr>
      </w:pPr>
      <w:r>
        <w:rPr>
          <w:b/>
        </w:rPr>
        <w:t xml:space="preserve">ETLP </w:t>
      </w:r>
      <w:r w:rsidR="00B30862">
        <w:rPr>
          <w:b/>
        </w:rPr>
        <w:t>6: Opportunities to Respond</w:t>
      </w:r>
      <w:r>
        <w:rPr>
          <w:b/>
        </w:rPr>
        <w:t xml:space="preserve"> </w:t>
      </w:r>
      <w:r w:rsidR="00372A4D">
        <w:rPr>
          <w:b/>
        </w:rPr>
        <w:t>Pre/Post Answer Key</w:t>
      </w:r>
    </w:p>
    <w:p w14:paraId="61E5745B" w14:textId="77777777" w:rsidR="00A43D7E" w:rsidRDefault="00A43D7E" w:rsidP="00372A4D">
      <w:pPr>
        <w:rPr>
          <w:b/>
          <w:i/>
        </w:rPr>
      </w:pPr>
    </w:p>
    <w:p w14:paraId="479F511B" w14:textId="263BDEF7" w:rsidR="00372A4D" w:rsidRPr="009362AF" w:rsidRDefault="00D877BC" w:rsidP="00372A4D">
      <w:pPr>
        <w:rPr>
          <w:rFonts w:asciiTheme="majorHAnsi" w:hAnsiTheme="majorHAnsi" w:cstheme="majorHAnsi"/>
          <w:b/>
          <w:i/>
        </w:rPr>
      </w:pPr>
      <w:r w:rsidRPr="009362AF">
        <w:rPr>
          <w:rFonts w:asciiTheme="majorHAnsi" w:hAnsiTheme="majorHAnsi" w:cstheme="majorHAnsi"/>
          <w:b/>
          <w:i/>
        </w:rPr>
        <w:t>Select the best match for each question.</w:t>
      </w:r>
      <w:r w:rsidR="00372A4D" w:rsidRPr="009362AF">
        <w:rPr>
          <w:rFonts w:asciiTheme="majorHAnsi" w:hAnsiTheme="majorHAnsi" w:cstheme="majorHAnsi"/>
          <w:b/>
          <w:i/>
        </w:rPr>
        <w:t xml:space="preserve">  </w:t>
      </w:r>
    </w:p>
    <w:p w14:paraId="57079009" w14:textId="0A7C32AD" w:rsidR="00BE64C5" w:rsidRPr="009362AF" w:rsidRDefault="009362AF" w:rsidP="00BE64C5">
      <w:pPr>
        <w:pStyle w:val="ListParagraph"/>
        <w:numPr>
          <w:ilvl w:val="0"/>
          <w:numId w:val="23"/>
        </w:numPr>
        <w:rPr>
          <w:rFonts w:asciiTheme="majorHAnsi" w:hAnsiTheme="majorHAnsi" w:cstheme="majorHAnsi"/>
          <w:color w:val="000000"/>
        </w:rPr>
      </w:pPr>
      <w:r w:rsidRPr="009362AF">
        <w:rPr>
          <w:rFonts w:asciiTheme="majorHAnsi" w:hAnsiTheme="majorHAnsi" w:cstheme="majorHAnsi"/>
          <w:color w:val="000000"/>
        </w:rPr>
        <w:t>It is recommended that teacher talk be no more than ____ - ____ % of the instructional time.</w:t>
      </w:r>
    </w:p>
    <w:p w14:paraId="608C3899" w14:textId="5748CEC6" w:rsidR="00372A4D" w:rsidRPr="009362AF" w:rsidRDefault="009362AF" w:rsidP="00372A4D">
      <w:pPr>
        <w:pStyle w:val="ListParagraph"/>
        <w:numPr>
          <w:ilvl w:val="1"/>
          <w:numId w:val="23"/>
        </w:numPr>
        <w:rPr>
          <w:rFonts w:asciiTheme="majorHAnsi" w:hAnsiTheme="majorHAnsi" w:cstheme="majorHAnsi"/>
          <w:bCs/>
        </w:rPr>
      </w:pPr>
      <w:r w:rsidRPr="009362AF">
        <w:rPr>
          <w:rFonts w:asciiTheme="majorHAnsi" w:hAnsiTheme="majorHAnsi" w:cstheme="majorHAnsi"/>
          <w:bCs/>
          <w:color w:val="000000"/>
        </w:rPr>
        <w:t>10 - 20</w:t>
      </w:r>
    </w:p>
    <w:p w14:paraId="644B1D4F" w14:textId="54A51F4E" w:rsidR="00BE64C5" w:rsidRPr="009362AF" w:rsidRDefault="009362AF" w:rsidP="00372A4D">
      <w:pPr>
        <w:pStyle w:val="ListParagraph"/>
        <w:numPr>
          <w:ilvl w:val="1"/>
          <w:numId w:val="23"/>
        </w:numPr>
        <w:rPr>
          <w:rFonts w:asciiTheme="majorHAnsi" w:hAnsiTheme="majorHAnsi" w:cstheme="majorHAnsi"/>
          <w:bCs/>
        </w:rPr>
      </w:pPr>
      <w:r w:rsidRPr="009362AF">
        <w:rPr>
          <w:rFonts w:asciiTheme="majorHAnsi" w:hAnsiTheme="majorHAnsi" w:cstheme="majorHAnsi"/>
          <w:bCs/>
        </w:rPr>
        <w:t>20 - 30</w:t>
      </w:r>
    </w:p>
    <w:p w14:paraId="4C225997" w14:textId="0861602F" w:rsidR="00D718CE" w:rsidRPr="009362AF" w:rsidRDefault="009362AF" w:rsidP="00D718CE">
      <w:pPr>
        <w:pStyle w:val="ListParagraph"/>
        <w:numPr>
          <w:ilvl w:val="1"/>
          <w:numId w:val="23"/>
        </w:numPr>
        <w:rPr>
          <w:rFonts w:asciiTheme="majorHAnsi" w:hAnsiTheme="majorHAnsi" w:cstheme="majorHAnsi"/>
          <w:b/>
        </w:rPr>
      </w:pPr>
      <w:r w:rsidRPr="009362AF">
        <w:rPr>
          <w:rFonts w:asciiTheme="majorHAnsi" w:hAnsiTheme="majorHAnsi" w:cstheme="majorHAnsi"/>
          <w:color w:val="000000"/>
        </w:rPr>
        <w:t>30 - 40</w:t>
      </w:r>
    </w:p>
    <w:p w14:paraId="2AE78940" w14:textId="2535949E" w:rsidR="00BE64C5" w:rsidRPr="009362AF" w:rsidRDefault="009362AF" w:rsidP="00372A4D">
      <w:pPr>
        <w:pStyle w:val="ListParagraph"/>
        <w:numPr>
          <w:ilvl w:val="1"/>
          <w:numId w:val="23"/>
        </w:numPr>
        <w:rPr>
          <w:rFonts w:asciiTheme="majorHAnsi" w:hAnsiTheme="majorHAnsi" w:cstheme="majorHAnsi"/>
          <w:b/>
        </w:rPr>
      </w:pPr>
      <w:r w:rsidRPr="009362AF">
        <w:rPr>
          <w:rFonts w:asciiTheme="majorHAnsi" w:hAnsiTheme="majorHAnsi" w:cstheme="majorHAnsi"/>
          <w:b/>
        </w:rPr>
        <w:t>40 - 50</w:t>
      </w:r>
    </w:p>
    <w:p w14:paraId="092974CC" w14:textId="64B90BA8" w:rsidR="00372A4D" w:rsidRPr="009362AF" w:rsidRDefault="00372A4D" w:rsidP="00E22E9C">
      <w:pPr>
        <w:ind w:left="1080"/>
        <w:rPr>
          <w:rFonts w:asciiTheme="majorHAnsi" w:hAnsiTheme="majorHAnsi" w:cstheme="majorHAnsi"/>
          <w:b/>
        </w:rPr>
      </w:pPr>
      <w:r w:rsidRPr="009362AF">
        <w:rPr>
          <w:rFonts w:asciiTheme="majorHAnsi" w:hAnsiTheme="majorHAnsi" w:cstheme="majorHAnsi"/>
          <w:b/>
        </w:rPr>
        <w:t>Rationale:</w:t>
      </w:r>
      <w:r w:rsidR="00D877BC" w:rsidRPr="009362AF">
        <w:rPr>
          <w:rFonts w:asciiTheme="majorHAnsi" w:hAnsiTheme="majorHAnsi" w:cstheme="majorHAnsi"/>
          <w:b/>
        </w:rPr>
        <w:t xml:space="preserve">  </w:t>
      </w:r>
      <w:r w:rsidR="009362AF" w:rsidRPr="00A3797C">
        <w:rPr>
          <w:rFonts w:asciiTheme="majorHAnsi" w:hAnsiTheme="majorHAnsi" w:cstheme="majorHAnsi"/>
          <w:b/>
        </w:rPr>
        <w:t>A common suggestion is that teacher talk should be</w:t>
      </w:r>
      <w:r w:rsidR="009362AF" w:rsidRPr="009362AF">
        <w:rPr>
          <w:rFonts w:asciiTheme="majorHAnsi" w:hAnsiTheme="majorHAnsi" w:cstheme="majorHAnsi"/>
          <w:b/>
        </w:rPr>
        <w:t xml:space="preserve"> </w:t>
      </w:r>
      <w:r w:rsidR="009362AF" w:rsidRPr="00A3797C">
        <w:rPr>
          <w:rFonts w:asciiTheme="majorHAnsi" w:hAnsiTheme="majorHAnsi" w:cstheme="majorHAnsi"/>
          <w:b/>
        </w:rPr>
        <w:t>no more than 40-50% of the instructional time, with the remaining time and activities fully engaging students. The Council for Exceptional Children (1987) initially provided guidelines for optimal response rates for students that have continued to be utilized (Reinke, Herman &amp; Stormont, 2013). When learning new material, teachers should strive to obtain a minimum of 4 to 6 responses per minute with 80% accuracy. If activities involve the review of previously learned material, teachers should strive for 8 to 12 responses per minute with 90% accuracy.</w:t>
      </w:r>
    </w:p>
    <w:p w14:paraId="0738FE0A" w14:textId="7B5808AC" w:rsidR="009362AF" w:rsidRPr="009362AF" w:rsidRDefault="009362AF" w:rsidP="009362AF">
      <w:pPr>
        <w:pStyle w:val="ListParagraph"/>
        <w:numPr>
          <w:ilvl w:val="0"/>
          <w:numId w:val="23"/>
        </w:numPr>
        <w:rPr>
          <w:rFonts w:asciiTheme="majorHAnsi" w:hAnsiTheme="majorHAnsi" w:cstheme="majorHAnsi"/>
          <w:bCs/>
        </w:rPr>
      </w:pPr>
      <w:r w:rsidRPr="009362AF">
        <w:rPr>
          <w:rFonts w:asciiTheme="majorHAnsi" w:hAnsiTheme="majorHAnsi" w:cstheme="majorHAnsi"/>
        </w:rPr>
        <w:t>T</w:t>
      </w:r>
      <w:r w:rsidRPr="00DB39AB">
        <w:rPr>
          <w:rFonts w:asciiTheme="majorHAnsi" w:hAnsiTheme="majorHAnsi" w:cstheme="majorHAnsi"/>
        </w:rPr>
        <w:t>he time lapse between delivering a question and calling on a student or cueing a group response</w:t>
      </w:r>
      <w:r>
        <w:rPr>
          <w:rFonts w:asciiTheme="majorHAnsi" w:hAnsiTheme="majorHAnsi" w:cstheme="majorHAnsi"/>
        </w:rPr>
        <w:t xml:space="preserve"> is called ________________.</w:t>
      </w:r>
    </w:p>
    <w:p w14:paraId="7EF65213" w14:textId="51A11F13" w:rsidR="00CF5DE2" w:rsidRPr="009362AF" w:rsidRDefault="00DB3265" w:rsidP="009362AF">
      <w:pPr>
        <w:pStyle w:val="ListParagraph"/>
        <w:numPr>
          <w:ilvl w:val="1"/>
          <w:numId w:val="23"/>
        </w:numPr>
        <w:rPr>
          <w:rFonts w:asciiTheme="majorHAnsi" w:hAnsiTheme="majorHAnsi" w:cstheme="majorHAnsi"/>
          <w:bCs/>
        </w:rPr>
      </w:pPr>
      <w:r w:rsidRPr="009362AF">
        <w:rPr>
          <w:rFonts w:asciiTheme="majorHAnsi" w:hAnsiTheme="majorHAnsi" w:cstheme="majorHAnsi"/>
          <w:bCs/>
        </w:rPr>
        <w:t>A</w:t>
      </w:r>
      <w:r w:rsidR="009362AF">
        <w:rPr>
          <w:rFonts w:asciiTheme="majorHAnsi" w:hAnsiTheme="majorHAnsi" w:cstheme="majorHAnsi"/>
          <w:bCs/>
        </w:rPr>
        <w:t xml:space="preserve"> break</w:t>
      </w:r>
    </w:p>
    <w:p w14:paraId="1964D1AE" w14:textId="4ED879DA" w:rsidR="00372A4D" w:rsidRPr="009362AF" w:rsidRDefault="009362AF" w:rsidP="00372A4D">
      <w:pPr>
        <w:pStyle w:val="ListParagraph"/>
        <w:numPr>
          <w:ilvl w:val="1"/>
          <w:numId w:val="23"/>
        </w:numPr>
        <w:rPr>
          <w:rFonts w:asciiTheme="majorHAnsi" w:hAnsiTheme="majorHAnsi" w:cstheme="majorHAnsi"/>
          <w:b/>
        </w:rPr>
      </w:pPr>
      <w:r>
        <w:rPr>
          <w:rFonts w:asciiTheme="majorHAnsi" w:hAnsiTheme="majorHAnsi" w:cstheme="majorHAnsi"/>
          <w:b/>
          <w:color w:val="000000"/>
        </w:rPr>
        <w:t>Wait time</w:t>
      </w:r>
    </w:p>
    <w:p w14:paraId="2E3605C6" w14:textId="62CC3361" w:rsidR="00372A4D" w:rsidRPr="009362AF" w:rsidRDefault="009362AF" w:rsidP="00372A4D">
      <w:pPr>
        <w:pStyle w:val="ListParagraph"/>
        <w:numPr>
          <w:ilvl w:val="1"/>
          <w:numId w:val="23"/>
        </w:numPr>
        <w:rPr>
          <w:rFonts w:asciiTheme="majorHAnsi" w:hAnsiTheme="majorHAnsi" w:cstheme="majorHAnsi"/>
          <w:b/>
        </w:rPr>
      </w:pPr>
      <w:r>
        <w:rPr>
          <w:rFonts w:asciiTheme="majorHAnsi" w:hAnsiTheme="majorHAnsi" w:cstheme="majorHAnsi"/>
          <w:color w:val="000000"/>
        </w:rPr>
        <w:t>Dead air</w:t>
      </w:r>
    </w:p>
    <w:p w14:paraId="2C1056D3" w14:textId="7027C349" w:rsidR="00DB3265" w:rsidRPr="009362AF" w:rsidRDefault="009362AF" w:rsidP="00372A4D">
      <w:pPr>
        <w:pStyle w:val="ListParagraph"/>
        <w:numPr>
          <w:ilvl w:val="1"/>
          <w:numId w:val="23"/>
        </w:numPr>
        <w:rPr>
          <w:rFonts w:asciiTheme="majorHAnsi" w:hAnsiTheme="majorHAnsi" w:cstheme="majorHAnsi"/>
          <w:b/>
        </w:rPr>
      </w:pPr>
      <w:r>
        <w:rPr>
          <w:rFonts w:asciiTheme="majorHAnsi" w:hAnsiTheme="majorHAnsi" w:cstheme="majorHAnsi"/>
          <w:color w:val="000000"/>
        </w:rPr>
        <w:t>Awkward</w:t>
      </w:r>
    </w:p>
    <w:p w14:paraId="67CFA1F7" w14:textId="016815F6" w:rsidR="00372A4D" w:rsidRPr="00372A4D" w:rsidRDefault="00372A4D" w:rsidP="009362AF">
      <w:pPr>
        <w:ind w:left="1080"/>
        <w:rPr>
          <w:b/>
        </w:rPr>
      </w:pPr>
      <w:r w:rsidRPr="00372A4D">
        <w:rPr>
          <w:b/>
        </w:rPr>
        <w:t xml:space="preserve">Rationale: </w:t>
      </w:r>
      <w:r w:rsidR="009362AF" w:rsidRPr="00DB39AB">
        <w:rPr>
          <w:b/>
        </w:rPr>
        <w:t xml:space="preserve">Strategies to increase opportunities for students to respond gain some of their effectiveness from wait time. This is the time lapse between delivering a question and calling on a student or cueing a group response. When wait time is used students are more engaged in thinking, typically participate more often, demonstrate an increase in the quality of their responses, and have more positive student-to-student interactions. Using wait time usually results in fewer re-directs of students and fewer discipline problems (Rowe, 1974; Rowe, 1987). </w:t>
      </w:r>
    </w:p>
    <w:p w14:paraId="23856DD4" w14:textId="0759CB1B" w:rsidR="00372A4D" w:rsidRPr="00D877BC" w:rsidRDefault="009362AF" w:rsidP="00D877BC">
      <w:pPr>
        <w:pStyle w:val="ListParagraph"/>
        <w:numPr>
          <w:ilvl w:val="0"/>
          <w:numId w:val="23"/>
        </w:numPr>
        <w:rPr>
          <w:b/>
        </w:rPr>
      </w:pPr>
      <w:r>
        <w:rPr>
          <w:color w:val="000000"/>
        </w:rPr>
        <w:t xml:space="preserve">There are two main types of opportunities to respond, </w:t>
      </w:r>
      <w:r w:rsidR="00DB3265">
        <w:rPr>
          <w:color w:val="000000"/>
        </w:rPr>
        <w:t>________ a</w:t>
      </w:r>
      <w:proofErr w:type="spellStart"/>
      <w:r w:rsidR="00DB3265">
        <w:rPr>
          <w:color w:val="000000"/>
        </w:rPr>
        <w:t>nd</w:t>
      </w:r>
      <w:proofErr w:type="spellEnd"/>
      <w:r w:rsidR="00DB3265">
        <w:rPr>
          <w:color w:val="000000"/>
        </w:rPr>
        <w:t xml:space="preserve"> ___________</w:t>
      </w:r>
      <w:bookmarkStart w:id="0" w:name="_GoBack"/>
      <w:bookmarkEnd w:id="0"/>
      <w:r w:rsidR="00DB3265">
        <w:rPr>
          <w:color w:val="000000"/>
        </w:rPr>
        <w:t>.</w:t>
      </w:r>
    </w:p>
    <w:p w14:paraId="18564AF6" w14:textId="078D9B92" w:rsidR="00372A4D" w:rsidRPr="00372A4D" w:rsidRDefault="009362AF" w:rsidP="00372A4D">
      <w:pPr>
        <w:pStyle w:val="ListParagraph"/>
        <w:numPr>
          <w:ilvl w:val="1"/>
          <w:numId w:val="23"/>
        </w:numPr>
      </w:pPr>
      <w:r>
        <w:rPr>
          <w:color w:val="000000"/>
        </w:rPr>
        <w:t>Effective and Ineffective</w:t>
      </w:r>
    </w:p>
    <w:p w14:paraId="59B88F17" w14:textId="1CCD273B" w:rsidR="00372A4D" w:rsidRPr="00876BCD" w:rsidRDefault="009362AF" w:rsidP="00372A4D">
      <w:pPr>
        <w:pStyle w:val="ListParagraph"/>
        <w:numPr>
          <w:ilvl w:val="1"/>
          <w:numId w:val="23"/>
        </w:numPr>
        <w:rPr>
          <w:b/>
        </w:rPr>
      </w:pPr>
      <w:r>
        <w:rPr>
          <w:b/>
          <w:color w:val="000000"/>
        </w:rPr>
        <w:t>Verbal and Non-verbal</w:t>
      </w:r>
    </w:p>
    <w:p w14:paraId="52E6599D" w14:textId="1E322300" w:rsidR="00876BCD" w:rsidRPr="00DB3265" w:rsidRDefault="009362AF" w:rsidP="00372A4D">
      <w:pPr>
        <w:pStyle w:val="ListParagraph"/>
        <w:numPr>
          <w:ilvl w:val="1"/>
          <w:numId w:val="23"/>
        </w:numPr>
        <w:rPr>
          <w:b/>
        </w:rPr>
      </w:pPr>
      <w:r>
        <w:rPr>
          <w:bCs/>
          <w:color w:val="000000"/>
        </w:rPr>
        <w:t>Mature and Immature</w:t>
      </w:r>
    </w:p>
    <w:p w14:paraId="0B1A3835" w14:textId="7134A255" w:rsidR="00DB3265" w:rsidRPr="00372A4D" w:rsidRDefault="009362AF" w:rsidP="00372A4D">
      <w:pPr>
        <w:pStyle w:val="ListParagraph"/>
        <w:numPr>
          <w:ilvl w:val="1"/>
          <w:numId w:val="23"/>
        </w:numPr>
        <w:rPr>
          <w:b/>
        </w:rPr>
      </w:pPr>
      <w:r>
        <w:rPr>
          <w:bCs/>
          <w:color w:val="000000"/>
        </w:rPr>
        <w:t>Hard and Easy</w:t>
      </w:r>
    </w:p>
    <w:p w14:paraId="09FE1484" w14:textId="2160920A" w:rsidR="00DB3265" w:rsidRPr="00372A4D" w:rsidRDefault="00372A4D" w:rsidP="009362AF">
      <w:pPr>
        <w:ind w:left="1080"/>
        <w:rPr>
          <w:b/>
        </w:rPr>
      </w:pPr>
      <w:r w:rsidRPr="00372A4D">
        <w:rPr>
          <w:b/>
        </w:rPr>
        <w:t xml:space="preserve">Rationale: </w:t>
      </w:r>
      <w:r w:rsidR="00D877BC">
        <w:rPr>
          <w:b/>
        </w:rPr>
        <w:t xml:space="preserve"> </w:t>
      </w:r>
      <w:r w:rsidR="009362AF" w:rsidRPr="009362AF">
        <w:rPr>
          <w:b/>
        </w:rPr>
        <w:t>There are v</w:t>
      </w:r>
      <w:r w:rsidR="009362AF" w:rsidRPr="00DB39AB">
        <w:rPr>
          <w:b/>
        </w:rPr>
        <w:t>aried and creative strategies to provide students with frequent opportunities to respond (</w:t>
      </w:r>
      <w:proofErr w:type="spellStart"/>
      <w:r w:rsidR="009362AF" w:rsidRPr="00DB39AB">
        <w:rPr>
          <w:b/>
        </w:rPr>
        <w:t>MacSuga</w:t>
      </w:r>
      <w:proofErr w:type="spellEnd"/>
      <w:r w:rsidR="009362AF" w:rsidRPr="00DB39AB">
        <w:rPr>
          <w:b/>
        </w:rPr>
        <w:t xml:space="preserve"> &amp; Simonsen, 2011). Typically</w:t>
      </w:r>
      <w:r w:rsidR="009362AF" w:rsidRPr="009362AF">
        <w:rPr>
          <w:b/>
        </w:rPr>
        <w:t>,</w:t>
      </w:r>
      <w:r w:rsidR="009362AF" w:rsidRPr="00DB39AB">
        <w:rPr>
          <w:b/>
        </w:rPr>
        <w:t xml:space="preserve"> they are either verbal </w:t>
      </w:r>
      <w:r w:rsidR="009362AF" w:rsidRPr="00DB39AB">
        <w:rPr>
          <w:b/>
        </w:rPr>
        <w:lastRenderedPageBreak/>
        <w:t xml:space="preserve">strategies, where students are responding orally to teacher prompts or questions, or non-verbal strategies, where students use a signal, card, writing, or movement to respond (Scott, Anderson, &amp; Alter, 2012). </w:t>
      </w:r>
    </w:p>
    <w:p w14:paraId="28503739" w14:textId="732A6BF2" w:rsidR="00372A4D" w:rsidRPr="00362E30" w:rsidRDefault="009362AF" w:rsidP="009362AF">
      <w:pPr>
        <w:pStyle w:val="ListParagraph"/>
        <w:numPr>
          <w:ilvl w:val="0"/>
          <w:numId w:val="23"/>
        </w:numPr>
      </w:pPr>
      <w:r>
        <w:rPr>
          <w:color w:val="000000"/>
        </w:rPr>
        <w:t>When using verbal strategies, s</w:t>
      </w:r>
      <w:r w:rsidRPr="00F12BE6">
        <w:rPr>
          <w:color w:val="000000"/>
        </w:rPr>
        <w:t xml:space="preserve">uccessful use of </w:t>
      </w:r>
      <w:r>
        <w:rPr>
          <w:color w:val="000000"/>
        </w:rPr>
        <w:t>____________ _____________</w:t>
      </w:r>
      <w:r w:rsidRPr="00F12BE6">
        <w:rPr>
          <w:color w:val="000000"/>
        </w:rPr>
        <w:t xml:space="preserve"> hinges on thorough teaching and pre-correction regarding listening, the response signal, appropriate voice tone, etc. </w:t>
      </w:r>
    </w:p>
    <w:p w14:paraId="31E50341" w14:textId="68307C61" w:rsidR="00362E30" w:rsidRPr="00372A4D" w:rsidRDefault="009362AF" w:rsidP="00372A4D">
      <w:pPr>
        <w:pStyle w:val="ListParagraph"/>
        <w:numPr>
          <w:ilvl w:val="1"/>
          <w:numId w:val="23"/>
        </w:numPr>
      </w:pPr>
      <w:r>
        <w:rPr>
          <w:color w:val="000000"/>
        </w:rPr>
        <w:t>Hand Raising</w:t>
      </w:r>
    </w:p>
    <w:p w14:paraId="71264A2D" w14:textId="2882FF35" w:rsidR="00372A4D" w:rsidRPr="00DB3265" w:rsidRDefault="009362AF" w:rsidP="00C15D4D">
      <w:pPr>
        <w:pStyle w:val="ListParagraph"/>
        <w:numPr>
          <w:ilvl w:val="1"/>
          <w:numId w:val="23"/>
        </w:numPr>
        <w:pBdr>
          <w:top w:val="nil"/>
          <w:left w:val="nil"/>
          <w:bottom w:val="nil"/>
          <w:right w:val="nil"/>
          <w:between w:val="nil"/>
        </w:pBdr>
        <w:rPr>
          <w:i/>
          <w:color w:val="FF0000"/>
        </w:rPr>
      </w:pPr>
      <w:r>
        <w:rPr>
          <w:b/>
          <w:color w:val="000000"/>
        </w:rPr>
        <w:t>Choral Responding</w:t>
      </w:r>
    </w:p>
    <w:p w14:paraId="17F56EAA" w14:textId="2EBAAD91" w:rsidR="00DB3265" w:rsidRPr="009362AF" w:rsidRDefault="009362AF" w:rsidP="00C15D4D">
      <w:pPr>
        <w:pStyle w:val="ListParagraph"/>
        <w:numPr>
          <w:ilvl w:val="1"/>
          <w:numId w:val="23"/>
        </w:numPr>
        <w:pBdr>
          <w:top w:val="nil"/>
          <w:left w:val="nil"/>
          <w:bottom w:val="nil"/>
          <w:right w:val="nil"/>
          <w:between w:val="nil"/>
        </w:pBdr>
        <w:rPr>
          <w:i/>
          <w:color w:val="FF0000"/>
        </w:rPr>
      </w:pPr>
      <w:r>
        <w:rPr>
          <w:bCs/>
          <w:color w:val="000000"/>
        </w:rPr>
        <w:t>Shouting Out</w:t>
      </w:r>
    </w:p>
    <w:p w14:paraId="4AA1595C" w14:textId="79DC401B" w:rsidR="009362AF" w:rsidRPr="00372A4D" w:rsidRDefault="006D6F63" w:rsidP="00C15D4D">
      <w:pPr>
        <w:pStyle w:val="ListParagraph"/>
        <w:numPr>
          <w:ilvl w:val="1"/>
          <w:numId w:val="23"/>
        </w:numPr>
        <w:pBdr>
          <w:top w:val="nil"/>
          <w:left w:val="nil"/>
          <w:bottom w:val="nil"/>
          <w:right w:val="nil"/>
          <w:between w:val="nil"/>
        </w:pBdr>
        <w:rPr>
          <w:i/>
          <w:color w:val="FF0000"/>
        </w:rPr>
      </w:pPr>
      <w:r>
        <w:rPr>
          <w:bCs/>
          <w:color w:val="000000"/>
        </w:rPr>
        <w:t>Whisper Phones</w:t>
      </w:r>
    </w:p>
    <w:p w14:paraId="59653B92" w14:textId="05228797" w:rsidR="00372A4D" w:rsidRPr="00F927D8" w:rsidRDefault="00372A4D" w:rsidP="00362E30">
      <w:pPr>
        <w:ind w:left="1080"/>
        <w:rPr>
          <w:b/>
        </w:rPr>
      </w:pPr>
      <w:r w:rsidRPr="00372A4D">
        <w:rPr>
          <w:b/>
        </w:rPr>
        <w:t xml:space="preserve">Rationale: </w:t>
      </w:r>
      <w:r w:rsidR="00D877BC">
        <w:rPr>
          <w:b/>
        </w:rPr>
        <w:t xml:space="preserve"> </w:t>
      </w:r>
      <w:r w:rsidR="006D6F63" w:rsidRPr="00F12BE6">
        <w:rPr>
          <w:b/>
        </w:rPr>
        <w:t>Choral responding occurs when all students in a class respond in unison to a teacher question.</w:t>
      </w:r>
      <w:r w:rsidR="006D6F63">
        <w:rPr>
          <w:b/>
        </w:rPr>
        <w:t xml:space="preserve">  </w:t>
      </w:r>
      <w:r w:rsidR="006D6F63" w:rsidRPr="00F12BE6">
        <w:rPr>
          <w:b/>
        </w:rPr>
        <w:t>Choral responding is best used with questions to individual students interspersed. This mixed responding strategy has an element of surprise and cues students to heighten their attention. It also allows you to assess individual student learning.</w:t>
      </w:r>
    </w:p>
    <w:p w14:paraId="15A24242" w14:textId="1A3281E5" w:rsidR="00DB3265" w:rsidRPr="00DB3265" w:rsidRDefault="006D6F63" w:rsidP="00DB3265">
      <w:pPr>
        <w:pStyle w:val="ListParagraph"/>
        <w:numPr>
          <w:ilvl w:val="0"/>
          <w:numId w:val="23"/>
        </w:numPr>
        <w:rPr>
          <w:color w:val="000000"/>
        </w:rPr>
      </w:pPr>
      <w:r>
        <w:rPr>
          <w:color w:val="000000"/>
        </w:rPr>
        <w:t>Non-verbal response strategies ________ the benefit that every student is actively answering or responding to each question or problem.</w:t>
      </w:r>
    </w:p>
    <w:p w14:paraId="041590CE" w14:textId="2694BC86" w:rsidR="00372A4D" w:rsidRPr="00372A4D" w:rsidRDefault="006D6F63" w:rsidP="00372A4D">
      <w:pPr>
        <w:pStyle w:val="ListParagraph"/>
        <w:numPr>
          <w:ilvl w:val="1"/>
          <w:numId w:val="23"/>
        </w:numPr>
      </w:pPr>
      <w:r>
        <w:t>Do not have</w:t>
      </w:r>
    </w:p>
    <w:p w14:paraId="50ABF19E" w14:textId="47FB0878" w:rsidR="00DB3265" w:rsidRPr="00DB3265" w:rsidRDefault="006D6F63" w:rsidP="00372A4D">
      <w:pPr>
        <w:pStyle w:val="ListParagraph"/>
        <w:numPr>
          <w:ilvl w:val="1"/>
          <w:numId w:val="23"/>
        </w:numPr>
        <w:rPr>
          <w:bCs/>
        </w:rPr>
      </w:pPr>
      <w:r>
        <w:rPr>
          <w:b/>
          <w:color w:val="000000"/>
        </w:rPr>
        <w:t>Have</w:t>
      </w:r>
    </w:p>
    <w:p w14:paraId="1388EAD9" w14:textId="65295826" w:rsidR="00372A4D" w:rsidRPr="00372A4D" w:rsidRDefault="00372A4D" w:rsidP="000F12C3">
      <w:pPr>
        <w:ind w:left="1080"/>
        <w:rPr>
          <w:b/>
        </w:rPr>
      </w:pPr>
      <w:r w:rsidRPr="00372A4D">
        <w:rPr>
          <w:b/>
        </w:rPr>
        <w:t xml:space="preserve">Rationale: </w:t>
      </w:r>
      <w:r w:rsidR="00D877BC">
        <w:rPr>
          <w:b/>
        </w:rPr>
        <w:t xml:space="preserve"> </w:t>
      </w:r>
      <w:r w:rsidR="006D6F63" w:rsidRPr="00D00497">
        <w:rPr>
          <w:b/>
        </w:rPr>
        <w:t xml:space="preserve">A non-verbal response system has all of the benefits of choral responding in that every student is actively answering or responding to each question or problem posed by the teacher. Most common non-verbal low-tech response systems involve white boards and written responses by </w:t>
      </w:r>
      <w:r w:rsidR="006D6F63" w:rsidRPr="006D6F63">
        <w:rPr>
          <w:b/>
        </w:rPr>
        <w:t>students or prepared response cards. And more recently, schools are using technology to increase student response rates with “clickers” or other electronic student response systems.</w:t>
      </w:r>
    </w:p>
    <w:p w14:paraId="714FF18F" w14:textId="77777777" w:rsidR="00B81086" w:rsidRPr="00303E61" w:rsidRDefault="00B81086"/>
    <w:sectPr w:rsidR="00B81086" w:rsidRPr="00303E61"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DFA2" w14:textId="77777777" w:rsidR="009F0091" w:rsidRDefault="009F0091" w:rsidP="008D279C">
      <w:pPr>
        <w:spacing w:after="0" w:line="240" w:lineRule="auto"/>
      </w:pPr>
      <w:r>
        <w:separator/>
      </w:r>
    </w:p>
  </w:endnote>
  <w:endnote w:type="continuationSeparator" w:id="0">
    <w:p w14:paraId="3DA4F703" w14:textId="77777777" w:rsidR="009F0091" w:rsidRDefault="009F0091"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F4ED" w14:textId="77777777" w:rsidR="009F0091" w:rsidRDefault="009F0091" w:rsidP="008D279C">
      <w:pPr>
        <w:spacing w:after="0" w:line="240" w:lineRule="auto"/>
      </w:pPr>
      <w:r>
        <w:separator/>
      </w:r>
    </w:p>
  </w:footnote>
  <w:footnote w:type="continuationSeparator" w:id="0">
    <w:p w14:paraId="40CDD207" w14:textId="77777777" w:rsidR="009F0091" w:rsidRDefault="009F0091"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3415"/>
    <w:multiLevelType w:val="hybridMultilevel"/>
    <w:tmpl w:val="13086006"/>
    <w:lvl w:ilvl="0" w:tplc="25A44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6"/>
  </w:num>
  <w:num w:numId="5">
    <w:abstractNumId w:val="9"/>
  </w:num>
  <w:num w:numId="6">
    <w:abstractNumId w:val="1"/>
  </w:num>
  <w:num w:numId="7">
    <w:abstractNumId w:val="17"/>
  </w:num>
  <w:num w:numId="8">
    <w:abstractNumId w:val="10"/>
  </w:num>
  <w:num w:numId="9">
    <w:abstractNumId w:val="25"/>
  </w:num>
  <w:num w:numId="10">
    <w:abstractNumId w:val="19"/>
    <w:lvlOverride w:ilvl="0">
      <w:lvl w:ilvl="0">
        <w:numFmt w:val="upperLetter"/>
        <w:lvlText w:val="%1."/>
        <w:lvlJc w:val="left"/>
      </w:lvl>
    </w:lvlOverride>
  </w:num>
  <w:num w:numId="11">
    <w:abstractNumId w:val="6"/>
    <w:lvlOverride w:ilvl="0">
      <w:lvl w:ilvl="0">
        <w:numFmt w:val="upperLetter"/>
        <w:lvlText w:val="%1."/>
        <w:lvlJc w:val="left"/>
      </w:lvl>
    </w:lvlOverride>
  </w:num>
  <w:num w:numId="12">
    <w:abstractNumId w:val="21"/>
  </w:num>
  <w:num w:numId="13">
    <w:abstractNumId w:val="16"/>
  </w:num>
  <w:num w:numId="14">
    <w:abstractNumId w:val="11"/>
  </w:num>
  <w:num w:numId="15">
    <w:abstractNumId w:val="14"/>
  </w:num>
  <w:num w:numId="16">
    <w:abstractNumId w:val="23"/>
  </w:num>
  <w:num w:numId="17">
    <w:abstractNumId w:val="20"/>
  </w:num>
  <w:num w:numId="18">
    <w:abstractNumId w:val="8"/>
  </w:num>
  <w:num w:numId="19">
    <w:abstractNumId w:val="4"/>
  </w:num>
  <w:num w:numId="20">
    <w:abstractNumId w:val="12"/>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2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0F12C3"/>
    <w:rsid w:val="001E0F0D"/>
    <w:rsid w:val="001F0968"/>
    <w:rsid w:val="00224406"/>
    <w:rsid w:val="002B1FA3"/>
    <w:rsid w:val="00303E61"/>
    <w:rsid w:val="003440E5"/>
    <w:rsid w:val="00362E30"/>
    <w:rsid w:val="00372A4D"/>
    <w:rsid w:val="003B607D"/>
    <w:rsid w:val="00445AF3"/>
    <w:rsid w:val="0047792E"/>
    <w:rsid w:val="0049737F"/>
    <w:rsid w:val="00666FFE"/>
    <w:rsid w:val="006D6F63"/>
    <w:rsid w:val="006F3C4A"/>
    <w:rsid w:val="00810068"/>
    <w:rsid w:val="00821A50"/>
    <w:rsid w:val="00852814"/>
    <w:rsid w:val="00876BCD"/>
    <w:rsid w:val="0089034C"/>
    <w:rsid w:val="008A6DBB"/>
    <w:rsid w:val="008D279C"/>
    <w:rsid w:val="008D4D08"/>
    <w:rsid w:val="009362AF"/>
    <w:rsid w:val="009C6D21"/>
    <w:rsid w:val="009F0091"/>
    <w:rsid w:val="00A21FB5"/>
    <w:rsid w:val="00A368E9"/>
    <w:rsid w:val="00A43D7E"/>
    <w:rsid w:val="00B04766"/>
    <w:rsid w:val="00B207DA"/>
    <w:rsid w:val="00B30862"/>
    <w:rsid w:val="00B32188"/>
    <w:rsid w:val="00B763DC"/>
    <w:rsid w:val="00B81086"/>
    <w:rsid w:val="00BE64C5"/>
    <w:rsid w:val="00C213AB"/>
    <w:rsid w:val="00CA56CB"/>
    <w:rsid w:val="00CF5DE2"/>
    <w:rsid w:val="00D718CE"/>
    <w:rsid w:val="00D877BC"/>
    <w:rsid w:val="00DB3265"/>
    <w:rsid w:val="00DF5EE6"/>
    <w:rsid w:val="00E10A8B"/>
    <w:rsid w:val="00E22E9C"/>
    <w:rsid w:val="00E52DE5"/>
    <w:rsid w:val="00E6760C"/>
    <w:rsid w:val="00EA07F0"/>
    <w:rsid w:val="00EB0823"/>
    <w:rsid w:val="00EC253B"/>
    <w:rsid w:val="00F47B6D"/>
    <w:rsid w:val="00F927D8"/>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899705492">
      <w:bodyDiv w:val="1"/>
      <w:marLeft w:val="0"/>
      <w:marRight w:val="0"/>
      <w:marTop w:val="0"/>
      <w:marBottom w:val="0"/>
      <w:divBdr>
        <w:top w:val="none" w:sz="0" w:space="0" w:color="auto"/>
        <w:left w:val="none" w:sz="0" w:space="0" w:color="auto"/>
        <w:bottom w:val="none" w:sz="0" w:space="0" w:color="auto"/>
        <w:right w:val="none" w:sz="0" w:space="0" w:color="auto"/>
      </w:divBdr>
      <w:divsChild>
        <w:div w:id="826480222">
          <w:marLeft w:val="0"/>
          <w:marRight w:val="0"/>
          <w:marTop w:val="0"/>
          <w:marBottom w:val="0"/>
          <w:divBdr>
            <w:top w:val="none" w:sz="0" w:space="0" w:color="auto"/>
            <w:left w:val="none" w:sz="0" w:space="0" w:color="auto"/>
            <w:bottom w:val="none" w:sz="0" w:space="0" w:color="auto"/>
            <w:right w:val="none" w:sz="0" w:space="0" w:color="auto"/>
          </w:divBdr>
          <w:divsChild>
            <w:div w:id="2128547655">
              <w:marLeft w:val="0"/>
              <w:marRight w:val="0"/>
              <w:marTop w:val="0"/>
              <w:marBottom w:val="0"/>
              <w:divBdr>
                <w:top w:val="none" w:sz="0" w:space="0" w:color="auto"/>
                <w:left w:val="none" w:sz="0" w:space="0" w:color="auto"/>
                <w:bottom w:val="none" w:sz="0" w:space="0" w:color="auto"/>
                <w:right w:val="none" w:sz="0" w:space="0" w:color="auto"/>
              </w:divBdr>
              <w:divsChild>
                <w:div w:id="8995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447</Words>
  <Characters>2891</Characters>
  <Application>Microsoft Office Word</Application>
  <DocSecurity>0</DocSecurity>
  <Lines>45</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4</cp:revision>
  <dcterms:created xsi:type="dcterms:W3CDTF">2019-06-27T00:02:00Z</dcterms:created>
  <dcterms:modified xsi:type="dcterms:W3CDTF">2019-06-27T00:17:00Z</dcterms:modified>
</cp:coreProperties>
</file>