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00B06" w14:textId="77777777" w:rsidR="00574853" w:rsidRDefault="00936E12">
      <w:pPr>
        <w:spacing w:after="0"/>
        <w:rPr>
          <w:b/>
          <w:i/>
          <w:sz w:val="36"/>
          <w:szCs w:val="36"/>
        </w:rPr>
      </w:pPr>
      <w:bookmarkStart w:id="0" w:name="_GoBack"/>
      <w:bookmarkEnd w:id="0"/>
      <w:r>
        <w:rPr>
          <w:b/>
          <w:i/>
          <w:sz w:val="36"/>
          <w:szCs w:val="36"/>
        </w:rPr>
        <w:t>Transition Academy Practice Profile</w:t>
      </w:r>
    </w:p>
    <w:p w14:paraId="0213D534" w14:textId="77777777" w:rsidR="00574853" w:rsidRDefault="00936E12">
      <w:pPr>
        <w:spacing w:after="0"/>
      </w:pPr>
      <w:r>
        <w:t xml:space="preserve">Implementation with fidelity requires clearly described implementation criteria.  The Practice Profile framework has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outlined in the work of Hall and Hord’s (2006) Innovation Configuration Mapping (NIRN, 2011).  The Practice Profile is anchored by the essential functions.  Moving from left to right are the essential functions of the practice, implementation performance levels, and lastly, evidence which provides data or documentation for determining implementation levels.  </w:t>
      </w:r>
    </w:p>
    <w:p w14:paraId="4DE6CE35" w14:textId="77777777" w:rsidR="00574853" w:rsidRDefault="00936E12">
      <w:pPr>
        <w:spacing w:after="0"/>
        <w:rPr>
          <w:b/>
        </w:rPr>
      </w:pPr>
      <w:bookmarkStart w:id="1" w:name="_heading=h.30j0zll" w:colFirst="0" w:colLast="0"/>
      <w:bookmarkEnd w:id="1"/>
      <w:r>
        <w:rPr>
          <w:b/>
        </w:rPr>
        <w:t>Note: In the document “The IEP Team” refers to all stakeholders including parents/guardians, student, faculty, administrators, related service providers, and agency representatives.</w:t>
      </w:r>
    </w:p>
    <w:p w14:paraId="2A81A871" w14:textId="77777777" w:rsidR="00574853" w:rsidRDefault="00574853">
      <w:pPr>
        <w:spacing w:after="0"/>
      </w:pPr>
    </w:p>
    <w:p w14:paraId="4B27B1B8" w14:textId="77777777" w:rsidR="00574853" w:rsidRDefault="00936E12">
      <w:pPr>
        <w:spacing w:after="0"/>
        <w:rPr>
          <w:b/>
          <w:color w:val="000000"/>
          <w:sz w:val="28"/>
          <w:szCs w:val="28"/>
        </w:rPr>
      </w:pPr>
      <w:r>
        <w:rPr>
          <w:b/>
          <w:i/>
          <w:color w:val="000000"/>
          <w:sz w:val="28"/>
          <w:szCs w:val="28"/>
        </w:rPr>
        <w:t>How to Use the Practice Profile</w:t>
      </w:r>
    </w:p>
    <w:p w14:paraId="4CD9C24D" w14:textId="77777777" w:rsidR="00574853" w:rsidRDefault="00936E12">
      <w:pPr>
        <w:rPr>
          <w:color w:val="FF0000"/>
        </w:rPr>
      </w:pPr>
      <w:r>
        <w:t>The essential functions align with the teaching/learning objectives for the learning package.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referring to the data and artifacts listed as suggested evidence.  It is an important tool for self-monitoring their own implementation because it serves as a reminder as to the implementation criteria and is also aligned with the fidelity checklists.</w:t>
      </w:r>
    </w:p>
    <w:tbl>
      <w:tblPr>
        <w:tblStyle w:val="a0"/>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0"/>
      </w:tblGrid>
      <w:tr w:rsidR="00574853" w14:paraId="69101BB3" w14:textId="77777777">
        <w:tc>
          <w:tcPr>
            <w:tcW w:w="13950" w:type="dxa"/>
          </w:tcPr>
          <w:p w14:paraId="58FFD15F" w14:textId="77777777" w:rsidR="00574853" w:rsidRDefault="00936E12">
            <w:r>
              <w:rPr>
                <w:color w:val="000000"/>
              </w:rPr>
              <w:t>The Transition Academy is designed to help educators plan for college and career readiness and positive postsecondary outcomes for students with an IEP. The components to be addressed during the academy are Indicator 13</w:t>
            </w:r>
            <w:r>
              <w:rPr>
                <w:color w:val="C00000"/>
              </w:rPr>
              <w:t xml:space="preserve">, </w:t>
            </w:r>
            <w:r>
              <w:rPr>
                <w:color w:val="000000"/>
              </w:rPr>
              <w:t>the transition compliance portion of the student’s IEP, how to plan for post-secondary outcomes and the framework and practice of how to include self-determination strategies and skills during instruction.  Specific components provided in greater detail will be Transition Assessments and Services and to teach students to participate in the planning process of their future. </w:t>
            </w:r>
          </w:p>
        </w:tc>
      </w:tr>
    </w:tbl>
    <w:p w14:paraId="676B0F00" w14:textId="0F8BDF2B" w:rsidR="00574853" w:rsidRDefault="00574853">
      <w:pPr>
        <w:sectPr w:rsidR="00574853">
          <w:headerReference w:type="even" r:id="rId11"/>
          <w:headerReference w:type="default" r:id="rId12"/>
          <w:footerReference w:type="even" r:id="rId13"/>
          <w:footerReference w:type="default" r:id="rId14"/>
          <w:headerReference w:type="first" r:id="rId15"/>
          <w:footerReference w:type="first" r:id="rId16"/>
          <w:pgSz w:w="15840" w:h="12240"/>
          <w:pgMar w:top="1440" w:right="1440" w:bottom="1440" w:left="1440" w:header="720" w:footer="720" w:gutter="0"/>
          <w:pgNumType w:start="1"/>
          <w:cols w:space="720" w:equalWidth="0">
            <w:col w:w="9360"/>
          </w:cols>
          <w:titlePg/>
        </w:sectPr>
      </w:pPr>
    </w:p>
    <w:p w14:paraId="112B6E43" w14:textId="77777777" w:rsidR="00574853" w:rsidRDefault="00574853">
      <w:pPr>
        <w:widowControl w:val="0"/>
        <w:pBdr>
          <w:top w:val="nil"/>
          <w:left w:val="nil"/>
          <w:bottom w:val="nil"/>
          <w:right w:val="nil"/>
          <w:between w:val="nil"/>
        </w:pBdr>
        <w:spacing w:after="0"/>
      </w:pPr>
    </w:p>
    <w:tbl>
      <w:tblPr>
        <w:tblStyle w:val="a1"/>
        <w:tblW w:w="13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1720"/>
        <w:gridCol w:w="5585"/>
        <w:gridCol w:w="2280"/>
        <w:gridCol w:w="1845"/>
        <w:gridCol w:w="1605"/>
      </w:tblGrid>
      <w:tr w:rsidR="00574853" w14:paraId="6EA417EA" w14:textId="77777777">
        <w:tc>
          <w:tcPr>
            <w:tcW w:w="13560" w:type="dxa"/>
            <w:gridSpan w:val="6"/>
            <w:shd w:val="clear" w:color="auto" w:fill="DFD4BB"/>
          </w:tcPr>
          <w:p w14:paraId="4A31AC19" w14:textId="35D0AE98" w:rsidR="00574853" w:rsidRDefault="00936E12" w:rsidP="00325A3C">
            <w:pPr>
              <w:spacing w:after="0" w:line="240" w:lineRule="auto"/>
              <w:jc w:val="center"/>
              <w:rPr>
                <w:b/>
                <w:sz w:val="20"/>
                <w:szCs w:val="20"/>
              </w:rPr>
            </w:pPr>
            <w:r w:rsidRPr="00325A3C">
              <w:rPr>
                <w:b/>
                <w:sz w:val="20"/>
                <w:szCs w:val="20"/>
              </w:rPr>
              <w:t xml:space="preserve">Transition Academy </w:t>
            </w:r>
            <w:r>
              <w:rPr>
                <w:b/>
                <w:sz w:val="20"/>
                <w:szCs w:val="20"/>
              </w:rPr>
              <w:br/>
              <w:t>Practice Profile</w:t>
            </w:r>
          </w:p>
        </w:tc>
      </w:tr>
      <w:tr w:rsidR="00574853" w14:paraId="520D7181" w14:textId="77777777" w:rsidTr="00D06106">
        <w:tc>
          <w:tcPr>
            <w:tcW w:w="2245" w:type="dxa"/>
            <w:gridSpan w:val="2"/>
            <w:shd w:val="clear" w:color="auto" w:fill="auto"/>
            <w:vAlign w:val="center"/>
          </w:tcPr>
          <w:p w14:paraId="28366E3C" w14:textId="77777777" w:rsidR="00574853" w:rsidRDefault="00936E12">
            <w:pPr>
              <w:spacing w:after="0" w:line="240" w:lineRule="auto"/>
              <w:jc w:val="center"/>
              <w:rPr>
                <w:b/>
                <w:sz w:val="20"/>
                <w:szCs w:val="20"/>
              </w:rPr>
            </w:pPr>
            <w:r>
              <w:rPr>
                <w:b/>
                <w:sz w:val="20"/>
                <w:szCs w:val="20"/>
              </w:rPr>
              <w:t>Essential Function</w:t>
            </w:r>
          </w:p>
        </w:tc>
        <w:tc>
          <w:tcPr>
            <w:tcW w:w="5585" w:type="dxa"/>
            <w:shd w:val="clear" w:color="auto" w:fill="auto"/>
            <w:vAlign w:val="center"/>
          </w:tcPr>
          <w:p w14:paraId="4B2FC1F2" w14:textId="77777777" w:rsidR="00574853" w:rsidRDefault="00936E12">
            <w:pPr>
              <w:spacing w:after="0" w:line="240" w:lineRule="auto"/>
              <w:jc w:val="center"/>
              <w:rPr>
                <w:b/>
                <w:sz w:val="20"/>
                <w:szCs w:val="20"/>
              </w:rPr>
            </w:pPr>
            <w:r>
              <w:rPr>
                <w:b/>
                <w:sz w:val="20"/>
                <w:szCs w:val="20"/>
              </w:rPr>
              <w:t>Exemplary Implementation</w:t>
            </w:r>
          </w:p>
        </w:tc>
        <w:tc>
          <w:tcPr>
            <w:tcW w:w="2280" w:type="dxa"/>
            <w:shd w:val="clear" w:color="auto" w:fill="auto"/>
            <w:vAlign w:val="center"/>
          </w:tcPr>
          <w:p w14:paraId="02304C11" w14:textId="77777777" w:rsidR="00574853" w:rsidRDefault="00936E12">
            <w:pPr>
              <w:spacing w:after="0" w:line="240" w:lineRule="auto"/>
              <w:jc w:val="center"/>
              <w:rPr>
                <w:b/>
                <w:sz w:val="20"/>
                <w:szCs w:val="20"/>
              </w:rPr>
            </w:pPr>
            <w:r>
              <w:rPr>
                <w:b/>
                <w:sz w:val="20"/>
                <w:szCs w:val="20"/>
              </w:rPr>
              <w:t>Proficient</w:t>
            </w:r>
          </w:p>
        </w:tc>
        <w:tc>
          <w:tcPr>
            <w:tcW w:w="1845" w:type="dxa"/>
            <w:shd w:val="clear" w:color="auto" w:fill="auto"/>
            <w:vAlign w:val="center"/>
          </w:tcPr>
          <w:p w14:paraId="11E2D1EA" w14:textId="77777777" w:rsidR="00574853" w:rsidRDefault="00936E12">
            <w:pPr>
              <w:spacing w:after="0" w:line="240" w:lineRule="auto"/>
              <w:jc w:val="center"/>
              <w:rPr>
                <w:b/>
                <w:sz w:val="20"/>
                <w:szCs w:val="20"/>
              </w:rPr>
            </w:pPr>
            <w:r>
              <w:rPr>
                <w:b/>
                <w:sz w:val="20"/>
                <w:szCs w:val="20"/>
              </w:rPr>
              <w:t>Close to Proficient</w:t>
            </w:r>
          </w:p>
          <w:p w14:paraId="459BB828" w14:textId="77777777" w:rsidR="00574853" w:rsidRDefault="00936E12">
            <w:pPr>
              <w:spacing w:after="0" w:line="240" w:lineRule="auto"/>
              <w:jc w:val="center"/>
              <w:rPr>
                <w:sz w:val="20"/>
                <w:szCs w:val="20"/>
              </w:rPr>
            </w:pPr>
            <w:r>
              <w:rPr>
                <w:sz w:val="18"/>
                <w:szCs w:val="18"/>
              </w:rPr>
              <w:t>(Skill is emerging, but not yet to proficiency. Coaching is recommended)</w:t>
            </w:r>
          </w:p>
        </w:tc>
        <w:tc>
          <w:tcPr>
            <w:tcW w:w="1605" w:type="dxa"/>
            <w:shd w:val="clear" w:color="auto" w:fill="auto"/>
            <w:vAlign w:val="center"/>
          </w:tcPr>
          <w:p w14:paraId="01F49F37" w14:textId="77777777" w:rsidR="00574853" w:rsidRDefault="00936E12">
            <w:pPr>
              <w:spacing w:after="0" w:line="240" w:lineRule="auto"/>
              <w:jc w:val="center"/>
              <w:rPr>
                <w:i/>
                <w:sz w:val="20"/>
                <w:szCs w:val="20"/>
              </w:rPr>
            </w:pPr>
            <w:r>
              <w:rPr>
                <w:b/>
                <w:sz w:val="20"/>
                <w:szCs w:val="20"/>
              </w:rPr>
              <w:t>Far from Proficient</w:t>
            </w:r>
            <w:r>
              <w:rPr>
                <w:i/>
                <w:sz w:val="20"/>
                <w:szCs w:val="20"/>
              </w:rPr>
              <w:t xml:space="preserve"> </w:t>
            </w:r>
          </w:p>
          <w:p w14:paraId="208CBBCD" w14:textId="77777777" w:rsidR="00574853" w:rsidRDefault="00936E12">
            <w:pPr>
              <w:spacing w:after="0" w:line="240" w:lineRule="auto"/>
              <w:jc w:val="center"/>
              <w:rPr>
                <w:b/>
                <w:sz w:val="20"/>
                <w:szCs w:val="20"/>
              </w:rPr>
            </w:pPr>
            <w:r>
              <w:rPr>
                <w:sz w:val="18"/>
                <w:szCs w:val="18"/>
              </w:rPr>
              <w:t>(Follow-up professional development and coaching are critical.)</w:t>
            </w:r>
          </w:p>
        </w:tc>
      </w:tr>
      <w:tr w:rsidR="00574853" w14:paraId="550D8092" w14:textId="77777777" w:rsidTr="00D06106">
        <w:trPr>
          <w:trHeight w:val="288"/>
        </w:trPr>
        <w:tc>
          <w:tcPr>
            <w:tcW w:w="525" w:type="dxa"/>
            <w:shd w:val="clear" w:color="auto" w:fill="auto"/>
            <w:vAlign w:val="center"/>
          </w:tcPr>
          <w:p w14:paraId="68C83E06" w14:textId="77777777" w:rsidR="00574853" w:rsidRDefault="00936E12">
            <w:pPr>
              <w:spacing w:after="0" w:line="240" w:lineRule="auto"/>
              <w:jc w:val="center"/>
              <w:rPr>
                <w:sz w:val="20"/>
                <w:szCs w:val="20"/>
              </w:rPr>
            </w:pPr>
            <w:r>
              <w:rPr>
                <w:sz w:val="20"/>
                <w:szCs w:val="20"/>
              </w:rPr>
              <w:t>1</w:t>
            </w:r>
          </w:p>
        </w:tc>
        <w:tc>
          <w:tcPr>
            <w:tcW w:w="1720" w:type="dxa"/>
            <w:shd w:val="clear" w:color="auto" w:fill="auto"/>
            <w:vAlign w:val="center"/>
          </w:tcPr>
          <w:p w14:paraId="6500560D" w14:textId="77777777" w:rsidR="00574853" w:rsidRDefault="00574853">
            <w:pPr>
              <w:spacing w:after="0" w:line="240" w:lineRule="auto"/>
              <w:jc w:val="center"/>
              <w:rPr>
                <w:sz w:val="20"/>
                <w:szCs w:val="20"/>
              </w:rPr>
            </w:pPr>
          </w:p>
          <w:p w14:paraId="58F223D0" w14:textId="77777777" w:rsidR="00574853" w:rsidRDefault="00574853">
            <w:pPr>
              <w:spacing w:after="0" w:line="240" w:lineRule="auto"/>
              <w:jc w:val="center"/>
              <w:rPr>
                <w:sz w:val="20"/>
                <w:szCs w:val="20"/>
              </w:rPr>
            </w:pPr>
          </w:p>
          <w:p w14:paraId="5C54BC66" w14:textId="77777777" w:rsidR="00574853" w:rsidRDefault="00574853">
            <w:pPr>
              <w:spacing w:after="0" w:line="240" w:lineRule="auto"/>
              <w:jc w:val="center"/>
              <w:rPr>
                <w:sz w:val="20"/>
                <w:szCs w:val="20"/>
              </w:rPr>
            </w:pPr>
          </w:p>
          <w:p w14:paraId="39CC8D17" w14:textId="77777777" w:rsidR="00574853" w:rsidRDefault="00936E12">
            <w:pPr>
              <w:spacing w:after="0" w:line="240" w:lineRule="auto"/>
              <w:rPr>
                <w:sz w:val="24"/>
                <w:szCs w:val="24"/>
              </w:rPr>
            </w:pPr>
            <w:r>
              <w:rPr>
                <w:sz w:val="24"/>
                <w:szCs w:val="24"/>
              </w:rPr>
              <w:t>Indicator 13 is explicitly followed and adherence to compliance guidelines are distinct.</w:t>
            </w:r>
          </w:p>
          <w:p w14:paraId="774D84BE" w14:textId="77777777" w:rsidR="00574853" w:rsidRDefault="00574853">
            <w:pPr>
              <w:spacing w:after="0" w:line="240" w:lineRule="auto"/>
              <w:rPr>
                <w:sz w:val="20"/>
                <w:szCs w:val="20"/>
              </w:rPr>
            </w:pPr>
          </w:p>
          <w:p w14:paraId="73EA619C" w14:textId="77777777" w:rsidR="00574853" w:rsidRDefault="00574853">
            <w:pPr>
              <w:spacing w:after="0" w:line="240" w:lineRule="auto"/>
              <w:rPr>
                <w:sz w:val="20"/>
                <w:szCs w:val="20"/>
              </w:rPr>
            </w:pPr>
          </w:p>
          <w:p w14:paraId="01AF8FCB" w14:textId="77777777" w:rsidR="00574853" w:rsidRDefault="00574853">
            <w:pPr>
              <w:spacing w:after="0" w:line="240" w:lineRule="auto"/>
              <w:rPr>
                <w:sz w:val="20"/>
                <w:szCs w:val="20"/>
              </w:rPr>
            </w:pPr>
          </w:p>
          <w:p w14:paraId="472C046F" w14:textId="77777777" w:rsidR="00574853" w:rsidRDefault="00574853">
            <w:pPr>
              <w:spacing w:after="0" w:line="240" w:lineRule="auto"/>
              <w:rPr>
                <w:sz w:val="20"/>
                <w:szCs w:val="20"/>
              </w:rPr>
            </w:pPr>
          </w:p>
          <w:p w14:paraId="7EB2FE2C" w14:textId="77777777" w:rsidR="00574853" w:rsidRDefault="00574853">
            <w:pPr>
              <w:spacing w:after="0" w:line="240" w:lineRule="auto"/>
              <w:rPr>
                <w:sz w:val="20"/>
                <w:szCs w:val="20"/>
              </w:rPr>
            </w:pPr>
          </w:p>
          <w:p w14:paraId="33CDEBC0" w14:textId="77777777" w:rsidR="00574853" w:rsidRDefault="00574853">
            <w:pPr>
              <w:spacing w:after="0" w:line="240" w:lineRule="auto"/>
              <w:rPr>
                <w:sz w:val="20"/>
                <w:szCs w:val="20"/>
              </w:rPr>
            </w:pPr>
          </w:p>
        </w:tc>
        <w:tc>
          <w:tcPr>
            <w:tcW w:w="5585" w:type="dxa"/>
            <w:shd w:val="clear" w:color="auto" w:fill="auto"/>
          </w:tcPr>
          <w:p w14:paraId="7DD9F1B3" w14:textId="77777777" w:rsidR="00574853" w:rsidRDefault="00574853">
            <w:pPr>
              <w:spacing w:after="0" w:line="240" w:lineRule="auto"/>
              <w:rPr>
                <w:sz w:val="24"/>
                <w:szCs w:val="24"/>
              </w:rPr>
            </w:pPr>
          </w:p>
          <w:p w14:paraId="2D1A4EC6" w14:textId="7173C2E7" w:rsidR="00574853" w:rsidRDefault="00936E12">
            <w:pPr>
              <w:spacing w:after="0" w:line="240" w:lineRule="auto"/>
              <w:rPr>
                <w:sz w:val="24"/>
                <w:szCs w:val="24"/>
              </w:rPr>
            </w:pPr>
            <w:r>
              <w:rPr>
                <w:sz w:val="24"/>
                <w:szCs w:val="24"/>
              </w:rPr>
              <w:t xml:space="preserve">The IEP </w:t>
            </w:r>
            <w:r w:rsidR="00275D2C">
              <w:rPr>
                <w:sz w:val="24"/>
                <w:szCs w:val="24"/>
              </w:rPr>
              <w:t xml:space="preserve">Team members, through the IEP, </w:t>
            </w:r>
            <w:r>
              <w:rPr>
                <w:sz w:val="24"/>
                <w:szCs w:val="24"/>
              </w:rPr>
              <w:t xml:space="preserve">will explicitly demonstrate adherence to each of the following indicators reflecting a student’s active participation and growth in transition planning.  Student’s needs, preferences, and interests have been considered in all phases of this process as they move through the K-12 setting. </w:t>
            </w:r>
          </w:p>
          <w:p w14:paraId="654CC763" w14:textId="77777777" w:rsidR="00574853" w:rsidRDefault="00936E12">
            <w:pPr>
              <w:spacing w:after="0" w:line="240" w:lineRule="auto"/>
              <w:rPr>
                <w:sz w:val="24"/>
                <w:szCs w:val="24"/>
              </w:rPr>
            </w:pPr>
            <w:r>
              <w:rPr>
                <w:sz w:val="24"/>
                <w:szCs w:val="24"/>
              </w:rPr>
              <w:t xml:space="preserve"> </w:t>
            </w:r>
          </w:p>
          <w:p w14:paraId="4D8A096A" w14:textId="77777777" w:rsidR="00574853" w:rsidRDefault="00936E12">
            <w:pPr>
              <w:numPr>
                <w:ilvl w:val="0"/>
                <w:numId w:val="2"/>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Transition </w:t>
            </w:r>
            <w:r>
              <w:rPr>
                <w:sz w:val="24"/>
                <w:szCs w:val="24"/>
              </w:rPr>
              <w:t>Assessment</w:t>
            </w:r>
          </w:p>
          <w:p w14:paraId="4398094A" w14:textId="77777777" w:rsidR="00574853" w:rsidRDefault="00936E12">
            <w:pPr>
              <w:numPr>
                <w:ilvl w:val="0"/>
                <w:numId w:val="2"/>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Present Level of Academic and Functional Performance (PLAAFP)</w:t>
            </w:r>
          </w:p>
          <w:p w14:paraId="3AA9374C" w14:textId="6A32936E" w:rsidR="00574853" w:rsidRDefault="00936E12">
            <w:pPr>
              <w:numPr>
                <w:ilvl w:val="0"/>
                <w:numId w:val="2"/>
              </w:numPr>
              <w:pBdr>
                <w:top w:val="nil"/>
                <w:left w:val="nil"/>
                <w:bottom w:val="nil"/>
                <w:right w:val="nil"/>
                <w:between w:val="nil"/>
              </w:pBdr>
              <w:spacing w:after="0" w:line="240" w:lineRule="auto"/>
              <w:rPr>
                <w:rFonts w:eastAsia="Calibri"/>
                <w:color w:val="000000"/>
                <w:sz w:val="24"/>
                <w:szCs w:val="24"/>
              </w:rPr>
            </w:pPr>
            <w:r>
              <w:rPr>
                <w:sz w:val="24"/>
                <w:szCs w:val="24"/>
              </w:rPr>
              <w:t xml:space="preserve">Annual Measurable </w:t>
            </w:r>
            <w:r w:rsidR="00325A3C">
              <w:rPr>
                <w:sz w:val="24"/>
                <w:szCs w:val="24"/>
              </w:rPr>
              <w:t>Postsecondary</w:t>
            </w:r>
            <w:r>
              <w:rPr>
                <w:sz w:val="24"/>
                <w:szCs w:val="24"/>
              </w:rPr>
              <w:t xml:space="preserve"> Goals </w:t>
            </w:r>
          </w:p>
          <w:p w14:paraId="08BB292B" w14:textId="77777777" w:rsidR="00574853" w:rsidRDefault="00936E12">
            <w:pPr>
              <w:numPr>
                <w:ilvl w:val="0"/>
                <w:numId w:val="2"/>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Transition Services</w:t>
            </w:r>
          </w:p>
          <w:p w14:paraId="0F26FFD6" w14:textId="77777777" w:rsidR="00574853" w:rsidRDefault="00936E12">
            <w:pPr>
              <w:numPr>
                <w:ilvl w:val="0"/>
                <w:numId w:val="2"/>
              </w:numPr>
              <w:pBdr>
                <w:top w:val="nil"/>
                <w:left w:val="nil"/>
                <w:bottom w:val="nil"/>
                <w:right w:val="nil"/>
                <w:between w:val="nil"/>
              </w:pBdr>
              <w:spacing w:after="0" w:line="240" w:lineRule="auto"/>
              <w:rPr>
                <w:sz w:val="24"/>
                <w:szCs w:val="24"/>
              </w:rPr>
            </w:pPr>
            <w:r>
              <w:rPr>
                <w:sz w:val="24"/>
                <w:szCs w:val="24"/>
              </w:rPr>
              <w:t>Links to annual IEP goals</w:t>
            </w:r>
          </w:p>
          <w:p w14:paraId="66316478" w14:textId="77777777" w:rsidR="00574853" w:rsidRDefault="00936E12">
            <w:pPr>
              <w:numPr>
                <w:ilvl w:val="0"/>
                <w:numId w:val="2"/>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Course of Study</w:t>
            </w:r>
          </w:p>
          <w:p w14:paraId="0FE8447C" w14:textId="77777777" w:rsidR="00574853" w:rsidRDefault="00936E12">
            <w:pPr>
              <w:numPr>
                <w:ilvl w:val="0"/>
                <w:numId w:val="2"/>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Interagency Linkages</w:t>
            </w:r>
          </w:p>
          <w:p w14:paraId="5C980A4F" w14:textId="77777777" w:rsidR="00574853" w:rsidRDefault="00936E12">
            <w:pPr>
              <w:numPr>
                <w:ilvl w:val="0"/>
                <w:numId w:val="2"/>
              </w:numPr>
              <w:pBdr>
                <w:top w:val="nil"/>
                <w:left w:val="nil"/>
                <w:bottom w:val="nil"/>
                <w:right w:val="nil"/>
                <w:between w:val="nil"/>
              </w:pBdr>
              <w:spacing w:after="0" w:line="240" w:lineRule="auto"/>
              <w:rPr>
                <w:sz w:val="24"/>
                <w:szCs w:val="24"/>
              </w:rPr>
            </w:pPr>
            <w:r>
              <w:rPr>
                <w:sz w:val="24"/>
                <w:szCs w:val="24"/>
              </w:rPr>
              <w:t xml:space="preserve">Student Invitation to Meeting </w:t>
            </w:r>
          </w:p>
          <w:p w14:paraId="4FD05A8E" w14:textId="77777777" w:rsidR="00574853" w:rsidRDefault="00574853">
            <w:pPr>
              <w:pBdr>
                <w:top w:val="nil"/>
                <w:left w:val="nil"/>
                <w:bottom w:val="nil"/>
                <w:right w:val="nil"/>
                <w:between w:val="nil"/>
              </w:pBdr>
              <w:spacing w:after="0" w:line="240" w:lineRule="auto"/>
              <w:ind w:left="720"/>
              <w:rPr>
                <w:sz w:val="24"/>
                <w:szCs w:val="24"/>
              </w:rPr>
            </w:pPr>
          </w:p>
          <w:p w14:paraId="66173BD8" w14:textId="1CD60029" w:rsidR="00574853" w:rsidRDefault="00936E12" w:rsidP="00ED5D41">
            <w:pPr>
              <w:pBdr>
                <w:top w:val="nil"/>
                <w:left w:val="nil"/>
                <w:bottom w:val="nil"/>
                <w:right w:val="nil"/>
                <w:between w:val="nil"/>
              </w:pBdr>
              <w:spacing w:after="0" w:line="240" w:lineRule="auto"/>
              <w:ind w:left="720"/>
              <w:rPr>
                <w:sz w:val="24"/>
                <w:szCs w:val="24"/>
              </w:rPr>
            </w:pPr>
            <w:r>
              <w:rPr>
                <w:sz w:val="24"/>
                <w:szCs w:val="24"/>
              </w:rPr>
              <w:t>*All of the eight questions from Indicator 13 MUST be in compliance to be found compliant.  The IEP has met both the Spirit of the Law and the Letter of the Law.*</w:t>
            </w:r>
          </w:p>
        </w:tc>
        <w:tc>
          <w:tcPr>
            <w:tcW w:w="2280" w:type="dxa"/>
            <w:shd w:val="clear" w:color="auto" w:fill="auto"/>
          </w:tcPr>
          <w:p w14:paraId="245FADC1" w14:textId="77777777" w:rsidR="00574853" w:rsidRDefault="00574853">
            <w:pPr>
              <w:pBdr>
                <w:top w:val="nil"/>
                <w:left w:val="nil"/>
                <w:bottom w:val="nil"/>
                <w:right w:val="nil"/>
                <w:between w:val="nil"/>
              </w:pBdr>
              <w:spacing w:after="0" w:line="240" w:lineRule="auto"/>
              <w:rPr>
                <w:color w:val="000000"/>
                <w:sz w:val="24"/>
                <w:szCs w:val="24"/>
              </w:rPr>
            </w:pPr>
          </w:p>
          <w:p w14:paraId="05998841" w14:textId="4218EC09" w:rsidR="00574853" w:rsidRDefault="00936E12">
            <w:pPr>
              <w:pBdr>
                <w:top w:val="nil"/>
                <w:left w:val="nil"/>
                <w:bottom w:val="nil"/>
                <w:right w:val="nil"/>
                <w:between w:val="nil"/>
              </w:pBdr>
              <w:spacing w:after="0" w:line="240" w:lineRule="auto"/>
              <w:rPr>
                <w:color w:val="000000"/>
                <w:sz w:val="24"/>
                <w:szCs w:val="24"/>
              </w:rPr>
            </w:pPr>
            <w:r>
              <w:rPr>
                <w:color w:val="000000"/>
                <w:sz w:val="24"/>
                <w:szCs w:val="24"/>
              </w:rPr>
              <w:t xml:space="preserve">IEP Teams will provide evidence at the annual IEP meeting that clearly reflects </w:t>
            </w:r>
            <w:r>
              <w:rPr>
                <w:sz w:val="24"/>
                <w:szCs w:val="24"/>
              </w:rPr>
              <w:t>that</w:t>
            </w:r>
            <w:r w:rsidR="00275D2C">
              <w:rPr>
                <w:sz w:val="24"/>
                <w:szCs w:val="24"/>
              </w:rPr>
              <w:t xml:space="preserve"> all transition indicators have</w:t>
            </w:r>
            <w:r>
              <w:rPr>
                <w:sz w:val="24"/>
                <w:szCs w:val="24"/>
              </w:rPr>
              <w:t xml:space="preserve"> been addressed. </w:t>
            </w:r>
            <w:r w:rsidR="00275D2C">
              <w:rPr>
                <w:color w:val="000000"/>
                <w:sz w:val="24"/>
                <w:szCs w:val="24"/>
              </w:rPr>
              <w:t xml:space="preserve">Student participation </w:t>
            </w:r>
            <w:r>
              <w:rPr>
                <w:color w:val="000000"/>
                <w:sz w:val="24"/>
                <w:szCs w:val="24"/>
              </w:rPr>
              <w:t>and growth has been considered</w:t>
            </w:r>
            <w:r>
              <w:rPr>
                <w:sz w:val="24"/>
                <w:szCs w:val="24"/>
              </w:rPr>
              <w:t xml:space="preserve"> and</w:t>
            </w:r>
            <w:r w:rsidR="00275D2C">
              <w:rPr>
                <w:color w:val="000000"/>
                <w:sz w:val="24"/>
                <w:szCs w:val="24"/>
              </w:rPr>
              <w:t xml:space="preserve"> practiced, but</w:t>
            </w:r>
            <w:r>
              <w:rPr>
                <w:color w:val="000000"/>
                <w:sz w:val="24"/>
                <w:szCs w:val="24"/>
              </w:rPr>
              <w:t xml:space="preserve"> the quality i</w:t>
            </w:r>
            <w:r>
              <w:rPr>
                <w:sz w:val="24"/>
                <w:szCs w:val="24"/>
              </w:rPr>
              <w:t xml:space="preserve">s not </w:t>
            </w:r>
            <w:r>
              <w:rPr>
                <w:color w:val="000000"/>
                <w:sz w:val="24"/>
                <w:szCs w:val="24"/>
              </w:rPr>
              <w:t xml:space="preserve">consistent. </w:t>
            </w:r>
          </w:p>
        </w:tc>
        <w:tc>
          <w:tcPr>
            <w:tcW w:w="1845" w:type="dxa"/>
            <w:shd w:val="clear" w:color="auto" w:fill="auto"/>
          </w:tcPr>
          <w:p w14:paraId="6E0CCF7F" w14:textId="77777777" w:rsidR="00574853" w:rsidRDefault="00574853">
            <w:pPr>
              <w:spacing w:after="0" w:line="240" w:lineRule="auto"/>
              <w:rPr>
                <w:sz w:val="24"/>
                <w:szCs w:val="24"/>
              </w:rPr>
            </w:pPr>
          </w:p>
          <w:p w14:paraId="7C812994" w14:textId="3B31B07F" w:rsidR="00574853" w:rsidRDefault="00936E12">
            <w:pPr>
              <w:spacing w:after="0" w:line="240" w:lineRule="auto"/>
              <w:rPr>
                <w:sz w:val="24"/>
                <w:szCs w:val="24"/>
              </w:rPr>
            </w:pPr>
            <w:r>
              <w:rPr>
                <w:sz w:val="24"/>
                <w:szCs w:val="24"/>
              </w:rPr>
              <w:t>IEP Teams will provide evid</w:t>
            </w:r>
            <w:r w:rsidR="00275D2C">
              <w:rPr>
                <w:sz w:val="24"/>
                <w:szCs w:val="24"/>
              </w:rPr>
              <w:t xml:space="preserve">ence at the annual IEP meeting </w:t>
            </w:r>
            <w:r>
              <w:rPr>
                <w:sz w:val="24"/>
                <w:szCs w:val="24"/>
              </w:rPr>
              <w:t>that clearly reflects more than half of the indicators have been addressed. Student participation and growth has been considered and practiced, but the quality is not consistent.</w:t>
            </w:r>
          </w:p>
        </w:tc>
        <w:tc>
          <w:tcPr>
            <w:tcW w:w="1605" w:type="dxa"/>
            <w:shd w:val="clear" w:color="auto" w:fill="auto"/>
          </w:tcPr>
          <w:p w14:paraId="02250915" w14:textId="77777777" w:rsidR="00574853" w:rsidRDefault="00574853">
            <w:pPr>
              <w:spacing w:after="0" w:line="240" w:lineRule="auto"/>
              <w:rPr>
                <w:sz w:val="24"/>
                <w:szCs w:val="24"/>
              </w:rPr>
            </w:pPr>
          </w:p>
          <w:p w14:paraId="61DA16E9" w14:textId="09E92BA4" w:rsidR="00574853" w:rsidRDefault="00936E12">
            <w:pPr>
              <w:spacing w:after="0" w:line="240" w:lineRule="auto"/>
              <w:rPr>
                <w:sz w:val="24"/>
                <w:szCs w:val="24"/>
              </w:rPr>
            </w:pPr>
            <w:r>
              <w:rPr>
                <w:sz w:val="24"/>
                <w:szCs w:val="24"/>
              </w:rPr>
              <w:t>IEP Teams will prov</w:t>
            </w:r>
            <w:r w:rsidR="00275D2C">
              <w:rPr>
                <w:sz w:val="24"/>
                <w:szCs w:val="24"/>
              </w:rPr>
              <w:t xml:space="preserve">ide evidence at the annual IEP </w:t>
            </w:r>
            <w:r>
              <w:rPr>
                <w:sz w:val="24"/>
                <w:szCs w:val="24"/>
              </w:rPr>
              <w:t>meeting that clearly reflects less than half of the indicators have been addressed.</w:t>
            </w:r>
          </w:p>
          <w:p w14:paraId="06ADCFE7" w14:textId="48B77A8B" w:rsidR="00574853" w:rsidRDefault="00936E12">
            <w:pPr>
              <w:spacing w:after="0" w:line="240" w:lineRule="auto"/>
              <w:rPr>
                <w:sz w:val="24"/>
                <w:szCs w:val="24"/>
              </w:rPr>
            </w:pPr>
            <w:r>
              <w:rPr>
                <w:sz w:val="24"/>
                <w:szCs w:val="24"/>
              </w:rPr>
              <w:t>There is insufficient evidence of stud</w:t>
            </w:r>
            <w:r w:rsidR="00275D2C">
              <w:rPr>
                <w:sz w:val="24"/>
                <w:szCs w:val="24"/>
              </w:rPr>
              <w:t>ent participation and growth is</w:t>
            </w:r>
            <w:r>
              <w:rPr>
                <w:sz w:val="24"/>
                <w:szCs w:val="24"/>
              </w:rPr>
              <w:t xml:space="preserve"> documented.</w:t>
            </w:r>
          </w:p>
        </w:tc>
      </w:tr>
      <w:tr w:rsidR="00574853" w14:paraId="1A67C493" w14:textId="77777777" w:rsidTr="00D06106">
        <w:trPr>
          <w:trHeight w:val="288"/>
        </w:trPr>
        <w:tc>
          <w:tcPr>
            <w:tcW w:w="525" w:type="dxa"/>
            <w:shd w:val="clear" w:color="auto" w:fill="auto"/>
            <w:vAlign w:val="center"/>
          </w:tcPr>
          <w:p w14:paraId="020A4EF7" w14:textId="77777777" w:rsidR="00574853" w:rsidRDefault="00574853">
            <w:pPr>
              <w:spacing w:after="0" w:line="240" w:lineRule="auto"/>
              <w:jc w:val="center"/>
              <w:rPr>
                <w:sz w:val="20"/>
                <w:szCs w:val="20"/>
              </w:rPr>
            </w:pPr>
          </w:p>
        </w:tc>
        <w:tc>
          <w:tcPr>
            <w:tcW w:w="1720" w:type="dxa"/>
            <w:shd w:val="clear" w:color="auto" w:fill="auto"/>
            <w:vAlign w:val="center"/>
          </w:tcPr>
          <w:p w14:paraId="6083F8C0" w14:textId="77777777" w:rsidR="00574853" w:rsidRDefault="00574853">
            <w:pPr>
              <w:spacing w:after="0" w:line="240" w:lineRule="auto"/>
              <w:jc w:val="center"/>
              <w:rPr>
                <w:b/>
                <w:sz w:val="20"/>
                <w:szCs w:val="20"/>
              </w:rPr>
            </w:pPr>
          </w:p>
          <w:p w14:paraId="41EABF3C" w14:textId="77777777" w:rsidR="00574853" w:rsidRDefault="00936E12">
            <w:pPr>
              <w:spacing w:after="0" w:line="240" w:lineRule="auto"/>
              <w:jc w:val="center"/>
              <w:rPr>
                <w:b/>
                <w:sz w:val="20"/>
                <w:szCs w:val="20"/>
              </w:rPr>
            </w:pPr>
            <w:r>
              <w:rPr>
                <w:b/>
                <w:sz w:val="20"/>
                <w:szCs w:val="20"/>
              </w:rPr>
              <w:t>Essential Function</w:t>
            </w:r>
          </w:p>
        </w:tc>
        <w:tc>
          <w:tcPr>
            <w:tcW w:w="5585" w:type="dxa"/>
            <w:shd w:val="clear" w:color="auto" w:fill="auto"/>
          </w:tcPr>
          <w:p w14:paraId="65B73756" w14:textId="77777777" w:rsidR="00574853" w:rsidRDefault="00574853">
            <w:pPr>
              <w:spacing w:after="0" w:line="240" w:lineRule="auto"/>
              <w:jc w:val="center"/>
              <w:rPr>
                <w:b/>
                <w:sz w:val="24"/>
                <w:szCs w:val="24"/>
              </w:rPr>
            </w:pPr>
          </w:p>
          <w:p w14:paraId="40D2D694" w14:textId="77777777" w:rsidR="00574853" w:rsidRDefault="00936E12">
            <w:pPr>
              <w:spacing w:after="0" w:line="240" w:lineRule="auto"/>
              <w:jc w:val="center"/>
              <w:rPr>
                <w:b/>
                <w:sz w:val="24"/>
                <w:szCs w:val="24"/>
              </w:rPr>
            </w:pPr>
            <w:r>
              <w:rPr>
                <w:b/>
                <w:sz w:val="24"/>
                <w:szCs w:val="24"/>
              </w:rPr>
              <w:t>Exemplary Implementation</w:t>
            </w:r>
          </w:p>
        </w:tc>
        <w:tc>
          <w:tcPr>
            <w:tcW w:w="2280" w:type="dxa"/>
            <w:shd w:val="clear" w:color="auto" w:fill="auto"/>
          </w:tcPr>
          <w:p w14:paraId="737EBAAA" w14:textId="77777777" w:rsidR="00574853" w:rsidRDefault="00574853">
            <w:pPr>
              <w:pBdr>
                <w:top w:val="nil"/>
                <w:left w:val="nil"/>
                <w:bottom w:val="nil"/>
                <w:right w:val="nil"/>
                <w:between w:val="nil"/>
              </w:pBdr>
              <w:spacing w:after="0" w:line="240" w:lineRule="auto"/>
              <w:jc w:val="center"/>
              <w:rPr>
                <w:b/>
                <w:sz w:val="24"/>
                <w:szCs w:val="24"/>
              </w:rPr>
            </w:pPr>
          </w:p>
          <w:p w14:paraId="5FCBEFDC" w14:textId="77777777" w:rsidR="00574853" w:rsidRDefault="00936E12">
            <w:pPr>
              <w:pBdr>
                <w:top w:val="nil"/>
                <w:left w:val="nil"/>
                <w:bottom w:val="nil"/>
                <w:right w:val="nil"/>
                <w:between w:val="nil"/>
              </w:pBdr>
              <w:spacing w:after="0" w:line="240" w:lineRule="auto"/>
              <w:jc w:val="center"/>
              <w:rPr>
                <w:b/>
                <w:color w:val="000000"/>
                <w:sz w:val="24"/>
                <w:szCs w:val="24"/>
              </w:rPr>
            </w:pPr>
            <w:r>
              <w:rPr>
                <w:b/>
                <w:color w:val="000000"/>
                <w:sz w:val="24"/>
                <w:szCs w:val="24"/>
              </w:rPr>
              <w:t>Proficient</w:t>
            </w:r>
          </w:p>
        </w:tc>
        <w:tc>
          <w:tcPr>
            <w:tcW w:w="1845" w:type="dxa"/>
            <w:shd w:val="clear" w:color="auto" w:fill="auto"/>
          </w:tcPr>
          <w:p w14:paraId="2DBDBE8A" w14:textId="77777777" w:rsidR="00574853" w:rsidRDefault="00574853">
            <w:pPr>
              <w:spacing w:after="0" w:line="240" w:lineRule="auto"/>
              <w:jc w:val="center"/>
              <w:rPr>
                <w:b/>
                <w:sz w:val="20"/>
                <w:szCs w:val="20"/>
              </w:rPr>
            </w:pPr>
          </w:p>
          <w:p w14:paraId="63437206" w14:textId="77777777" w:rsidR="00574853" w:rsidRDefault="00936E12">
            <w:pPr>
              <w:spacing w:after="0" w:line="240" w:lineRule="auto"/>
              <w:jc w:val="center"/>
              <w:rPr>
                <w:b/>
                <w:sz w:val="20"/>
                <w:szCs w:val="20"/>
              </w:rPr>
            </w:pPr>
            <w:r>
              <w:rPr>
                <w:b/>
                <w:sz w:val="20"/>
                <w:szCs w:val="20"/>
              </w:rPr>
              <w:t>Close to Proficient</w:t>
            </w:r>
          </w:p>
          <w:p w14:paraId="2D7A2B5E" w14:textId="77777777" w:rsidR="00574853" w:rsidRDefault="00936E12">
            <w:pPr>
              <w:spacing w:after="0" w:line="240" w:lineRule="auto"/>
              <w:rPr>
                <w:sz w:val="24"/>
                <w:szCs w:val="24"/>
              </w:rPr>
            </w:pPr>
            <w:r>
              <w:rPr>
                <w:sz w:val="18"/>
                <w:szCs w:val="18"/>
              </w:rPr>
              <w:t>(Skill is emerging, but not yet to proficiency. Coaching is recommended</w:t>
            </w:r>
          </w:p>
        </w:tc>
        <w:tc>
          <w:tcPr>
            <w:tcW w:w="1605" w:type="dxa"/>
            <w:shd w:val="clear" w:color="auto" w:fill="auto"/>
          </w:tcPr>
          <w:p w14:paraId="42DE9129" w14:textId="77777777" w:rsidR="00574853" w:rsidRDefault="00574853">
            <w:pPr>
              <w:spacing w:after="0" w:line="240" w:lineRule="auto"/>
              <w:jc w:val="center"/>
              <w:rPr>
                <w:b/>
                <w:sz w:val="20"/>
                <w:szCs w:val="20"/>
              </w:rPr>
            </w:pPr>
          </w:p>
          <w:p w14:paraId="6F73ADD4" w14:textId="77777777" w:rsidR="00574853" w:rsidRDefault="00936E12">
            <w:pPr>
              <w:spacing w:after="0" w:line="240" w:lineRule="auto"/>
              <w:jc w:val="center"/>
              <w:rPr>
                <w:i/>
                <w:sz w:val="20"/>
                <w:szCs w:val="20"/>
              </w:rPr>
            </w:pPr>
            <w:r>
              <w:rPr>
                <w:b/>
                <w:sz w:val="20"/>
                <w:szCs w:val="20"/>
              </w:rPr>
              <w:t>Far from Proficient</w:t>
            </w:r>
            <w:r>
              <w:rPr>
                <w:i/>
                <w:sz w:val="20"/>
                <w:szCs w:val="20"/>
              </w:rPr>
              <w:t xml:space="preserve"> </w:t>
            </w:r>
          </w:p>
          <w:p w14:paraId="43E09959" w14:textId="77777777" w:rsidR="00574853" w:rsidRDefault="00936E12">
            <w:pPr>
              <w:spacing w:after="0" w:line="240" w:lineRule="auto"/>
              <w:rPr>
                <w:sz w:val="24"/>
                <w:szCs w:val="24"/>
              </w:rPr>
            </w:pPr>
            <w:r>
              <w:rPr>
                <w:sz w:val="18"/>
                <w:szCs w:val="18"/>
              </w:rPr>
              <w:t>(Follow-up professional development and coaching are critical.)</w:t>
            </w:r>
          </w:p>
        </w:tc>
      </w:tr>
      <w:tr w:rsidR="00574853" w14:paraId="3DAD0E99" w14:textId="77777777" w:rsidTr="00D06106">
        <w:trPr>
          <w:trHeight w:val="288"/>
        </w:trPr>
        <w:tc>
          <w:tcPr>
            <w:tcW w:w="525" w:type="dxa"/>
            <w:shd w:val="clear" w:color="auto" w:fill="auto"/>
            <w:vAlign w:val="center"/>
          </w:tcPr>
          <w:p w14:paraId="19ECFBB2" w14:textId="77777777" w:rsidR="00574853" w:rsidRDefault="00936E12">
            <w:pPr>
              <w:spacing w:after="0" w:line="240" w:lineRule="auto"/>
              <w:jc w:val="center"/>
              <w:rPr>
                <w:sz w:val="20"/>
                <w:szCs w:val="20"/>
              </w:rPr>
            </w:pPr>
            <w:r>
              <w:rPr>
                <w:sz w:val="20"/>
                <w:szCs w:val="20"/>
              </w:rPr>
              <w:t>2</w:t>
            </w:r>
          </w:p>
        </w:tc>
        <w:tc>
          <w:tcPr>
            <w:tcW w:w="1720" w:type="dxa"/>
            <w:shd w:val="clear" w:color="auto" w:fill="auto"/>
            <w:vAlign w:val="center"/>
          </w:tcPr>
          <w:p w14:paraId="3380894C" w14:textId="77777777" w:rsidR="00574853" w:rsidRDefault="00574853">
            <w:pPr>
              <w:spacing w:after="0" w:line="240" w:lineRule="auto"/>
              <w:rPr>
                <w:sz w:val="20"/>
                <w:szCs w:val="20"/>
              </w:rPr>
            </w:pPr>
          </w:p>
          <w:p w14:paraId="651FF3D6" w14:textId="15A4AFC7" w:rsidR="00574853" w:rsidRPr="00275D2C" w:rsidRDefault="00936E12">
            <w:pPr>
              <w:spacing w:after="0" w:line="240" w:lineRule="auto"/>
              <w:rPr>
                <w:sz w:val="24"/>
                <w:szCs w:val="24"/>
              </w:rPr>
            </w:pPr>
            <w:r w:rsidRPr="00275D2C">
              <w:rPr>
                <w:sz w:val="24"/>
                <w:szCs w:val="24"/>
              </w:rPr>
              <w:t xml:space="preserve">Educators utilize strategies that are </w:t>
            </w:r>
            <w:r w:rsidR="007551C5">
              <w:rPr>
                <w:sz w:val="24"/>
                <w:szCs w:val="24"/>
              </w:rPr>
              <w:t xml:space="preserve">student centered and   </w:t>
            </w:r>
            <w:r w:rsidR="00836AC0">
              <w:rPr>
                <w:sz w:val="24"/>
                <w:szCs w:val="24"/>
              </w:rPr>
              <w:t>evidence-</w:t>
            </w:r>
          </w:p>
          <w:p w14:paraId="15DA40AC" w14:textId="2FC4639E" w:rsidR="00574853" w:rsidRPr="00275D2C" w:rsidRDefault="00936E12">
            <w:pPr>
              <w:spacing w:after="0" w:line="240" w:lineRule="auto"/>
              <w:rPr>
                <w:sz w:val="24"/>
                <w:szCs w:val="24"/>
              </w:rPr>
            </w:pPr>
            <w:r w:rsidRPr="00275D2C">
              <w:rPr>
                <w:sz w:val="24"/>
                <w:szCs w:val="24"/>
              </w:rPr>
              <w:t>based.</w:t>
            </w:r>
          </w:p>
          <w:p w14:paraId="70EFB77C" w14:textId="77777777" w:rsidR="00574853" w:rsidRDefault="00574853">
            <w:pPr>
              <w:spacing w:after="0" w:line="240" w:lineRule="auto"/>
              <w:rPr>
                <w:sz w:val="20"/>
                <w:szCs w:val="20"/>
              </w:rPr>
            </w:pPr>
          </w:p>
        </w:tc>
        <w:tc>
          <w:tcPr>
            <w:tcW w:w="5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F084F" w14:textId="77777777" w:rsidR="00574853" w:rsidRPr="00AF1959" w:rsidRDefault="00936E12">
            <w:pPr>
              <w:spacing w:before="240" w:after="0"/>
              <w:rPr>
                <w:sz w:val="24"/>
                <w:szCs w:val="24"/>
              </w:rPr>
            </w:pPr>
            <w:r w:rsidRPr="00AF1959">
              <w:rPr>
                <w:sz w:val="24"/>
                <w:szCs w:val="24"/>
              </w:rPr>
              <w:t xml:space="preserve">Student’s involvement in planning for their transition needs is evident and monitored in the student program with clear documentation in the IEP using the  6 items listed below: </w:t>
            </w:r>
          </w:p>
          <w:p w14:paraId="53CE86B4" w14:textId="77777777" w:rsidR="00574853" w:rsidRPr="00AF1959" w:rsidRDefault="00936E12">
            <w:pPr>
              <w:numPr>
                <w:ilvl w:val="0"/>
                <w:numId w:val="3"/>
              </w:numPr>
              <w:spacing w:before="240" w:after="0"/>
              <w:rPr>
                <w:sz w:val="24"/>
                <w:szCs w:val="24"/>
              </w:rPr>
            </w:pPr>
            <w:r w:rsidRPr="00AF1959">
              <w:rPr>
                <w:sz w:val="24"/>
                <w:szCs w:val="24"/>
              </w:rPr>
              <w:t xml:space="preserve"> Student Focused Transition Planning and Curriculum</w:t>
            </w:r>
          </w:p>
          <w:p w14:paraId="35129696" w14:textId="77777777" w:rsidR="00574853" w:rsidRPr="00AF1959" w:rsidRDefault="00936E12">
            <w:pPr>
              <w:widowControl w:val="0"/>
              <w:numPr>
                <w:ilvl w:val="1"/>
                <w:numId w:val="4"/>
              </w:numPr>
              <w:spacing w:after="0" w:line="192" w:lineRule="auto"/>
              <w:rPr>
                <w:rFonts w:ascii="Noto Sans Symbols" w:eastAsia="Noto Sans Symbols" w:hAnsi="Noto Sans Symbols" w:cs="Noto Sans Symbols"/>
                <w:sz w:val="24"/>
                <w:szCs w:val="24"/>
              </w:rPr>
            </w:pPr>
            <w:r w:rsidRPr="00AF1959">
              <w:rPr>
                <w:sz w:val="24"/>
                <w:szCs w:val="24"/>
              </w:rPr>
              <w:t>Social and Emotional Learning</w:t>
            </w:r>
          </w:p>
          <w:p w14:paraId="2527C140" w14:textId="77777777" w:rsidR="00574853" w:rsidRPr="00AF1959" w:rsidRDefault="00574853">
            <w:pPr>
              <w:widowControl w:val="0"/>
              <w:spacing w:after="0" w:line="192" w:lineRule="auto"/>
              <w:ind w:left="720"/>
              <w:rPr>
                <w:sz w:val="24"/>
                <w:szCs w:val="24"/>
              </w:rPr>
            </w:pPr>
          </w:p>
          <w:p w14:paraId="012D760B" w14:textId="77777777" w:rsidR="00574853" w:rsidRPr="00AF1959" w:rsidRDefault="00936E12">
            <w:pPr>
              <w:widowControl w:val="0"/>
              <w:numPr>
                <w:ilvl w:val="0"/>
                <w:numId w:val="4"/>
              </w:numPr>
              <w:spacing w:after="0" w:line="192" w:lineRule="auto"/>
              <w:rPr>
                <w:rFonts w:ascii="Arial" w:eastAsia="Arial" w:hAnsi="Arial" w:cs="Arial"/>
                <w:b/>
                <w:sz w:val="24"/>
                <w:szCs w:val="24"/>
              </w:rPr>
            </w:pPr>
            <w:r w:rsidRPr="00AF1959">
              <w:rPr>
                <w:b/>
                <w:sz w:val="24"/>
                <w:szCs w:val="24"/>
              </w:rPr>
              <w:t>Age Appropriate Transition Assessments</w:t>
            </w:r>
          </w:p>
          <w:p w14:paraId="4816238A" w14:textId="77777777" w:rsidR="00574853" w:rsidRPr="00AF1959" w:rsidRDefault="00574853">
            <w:pPr>
              <w:widowControl w:val="0"/>
              <w:spacing w:after="0" w:line="192" w:lineRule="auto"/>
              <w:ind w:left="720"/>
              <w:rPr>
                <w:b/>
                <w:sz w:val="24"/>
                <w:szCs w:val="24"/>
              </w:rPr>
            </w:pPr>
          </w:p>
          <w:p w14:paraId="145E5109" w14:textId="77777777" w:rsidR="00574853" w:rsidRPr="00AF1959" w:rsidRDefault="00936E12">
            <w:pPr>
              <w:widowControl w:val="0"/>
              <w:numPr>
                <w:ilvl w:val="0"/>
                <w:numId w:val="4"/>
              </w:numPr>
              <w:spacing w:after="0" w:line="192" w:lineRule="auto"/>
              <w:rPr>
                <w:rFonts w:ascii="Arial" w:eastAsia="Arial" w:hAnsi="Arial" w:cs="Arial"/>
                <w:b/>
                <w:sz w:val="24"/>
                <w:szCs w:val="24"/>
              </w:rPr>
            </w:pPr>
            <w:r w:rsidRPr="00AF1959">
              <w:rPr>
                <w:b/>
                <w:sz w:val="24"/>
                <w:szCs w:val="24"/>
              </w:rPr>
              <w:t>Measurable Postsecondary Goals</w:t>
            </w:r>
          </w:p>
          <w:p w14:paraId="0157746E" w14:textId="77777777" w:rsidR="00574853" w:rsidRPr="00AF1959" w:rsidRDefault="00574853">
            <w:pPr>
              <w:widowControl w:val="0"/>
              <w:spacing w:after="0" w:line="192" w:lineRule="auto"/>
              <w:ind w:left="720"/>
              <w:rPr>
                <w:b/>
                <w:sz w:val="24"/>
                <w:szCs w:val="24"/>
              </w:rPr>
            </w:pPr>
          </w:p>
          <w:p w14:paraId="131A4F3E" w14:textId="77777777" w:rsidR="00574853" w:rsidRPr="00AF1959" w:rsidRDefault="00936E12">
            <w:pPr>
              <w:widowControl w:val="0"/>
              <w:numPr>
                <w:ilvl w:val="0"/>
                <w:numId w:val="4"/>
              </w:numPr>
              <w:spacing w:after="0" w:line="192" w:lineRule="auto"/>
              <w:rPr>
                <w:rFonts w:ascii="Arial" w:eastAsia="Arial" w:hAnsi="Arial" w:cs="Arial"/>
                <w:b/>
                <w:sz w:val="24"/>
                <w:szCs w:val="24"/>
              </w:rPr>
            </w:pPr>
            <w:r w:rsidRPr="00AF1959">
              <w:rPr>
                <w:b/>
                <w:sz w:val="24"/>
                <w:szCs w:val="24"/>
              </w:rPr>
              <w:t>Transition Services</w:t>
            </w:r>
            <w:r w:rsidRPr="00AF1959">
              <w:rPr>
                <w:b/>
                <w:sz w:val="24"/>
                <w:szCs w:val="24"/>
              </w:rPr>
              <w:br/>
            </w:r>
          </w:p>
          <w:p w14:paraId="735EC89A" w14:textId="77777777" w:rsidR="00574853" w:rsidRPr="00AF1959" w:rsidRDefault="00936E12">
            <w:pPr>
              <w:widowControl w:val="0"/>
              <w:numPr>
                <w:ilvl w:val="0"/>
                <w:numId w:val="4"/>
              </w:numPr>
              <w:spacing w:after="0" w:line="192" w:lineRule="auto"/>
              <w:rPr>
                <w:rFonts w:ascii="Arial" w:eastAsia="Arial" w:hAnsi="Arial" w:cs="Arial"/>
                <w:sz w:val="24"/>
                <w:szCs w:val="24"/>
              </w:rPr>
            </w:pPr>
            <w:r w:rsidRPr="00AF1959">
              <w:rPr>
                <w:sz w:val="24"/>
                <w:szCs w:val="24"/>
              </w:rPr>
              <w:t>Research Based Transition Best Practices:</w:t>
            </w:r>
          </w:p>
          <w:p w14:paraId="1642A170" w14:textId="77777777" w:rsidR="00574853" w:rsidRPr="00AF1959" w:rsidRDefault="00936E12">
            <w:pPr>
              <w:widowControl w:val="0"/>
              <w:numPr>
                <w:ilvl w:val="1"/>
                <w:numId w:val="4"/>
              </w:numPr>
              <w:spacing w:after="0" w:line="192" w:lineRule="auto"/>
              <w:rPr>
                <w:rFonts w:ascii="Noto Sans Symbols" w:eastAsia="Noto Sans Symbols" w:hAnsi="Noto Sans Symbols" w:cs="Noto Sans Symbols"/>
                <w:sz w:val="24"/>
                <w:szCs w:val="24"/>
              </w:rPr>
            </w:pPr>
            <w:r w:rsidRPr="00AF1959">
              <w:rPr>
                <w:sz w:val="24"/>
                <w:szCs w:val="24"/>
              </w:rPr>
              <w:t>Student &amp; Parent/Guardian Participation</w:t>
            </w:r>
          </w:p>
          <w:p w14:paraId="15380DB2" w14:textId="77777777" w:rsidR="00574853" w:rsidRPr="00AF1959" w:rsidRDefault="00936E12">
            <w:pPr>
              <w:widowControl w:val="0"/>
              <w:numPr>
                <w:ilvl w:val="1"/>
                <w:numId w:val="4"/>
              </w:numPr>
              <w:spacing w:after="0" w:line="192" w:lineRule="auto"/>
              <w:rPr>
                <w:rFonts w:ascii="Noto Sans Symbols" w:eastAsia="Noto Sans Symbols" w:hAnsi="Noto Sans Symbols" w:cs="Noto Sans Symbols"/>
                <w:sz w:val="24"/>
                <w:szCs w:val="24"/>
              </w:rPr>
            </w:pPr>
            <w:r w:rsidRPr="00AF1959">
              <w:rPr>
                <w:sz w:val="24"/>
                <w:szCs w:val="24"/>
              </w:rPr>
              <w:t>Student Directed Planning and Student Led IEP</w:t>
            </w:r>
            <w:r w:rsidRPr="00AF1959">
              <w:rPr>
                <w:sz w:val="24"/>
                <w:szCs w:val="24"/>
              </w:rPr>
              <w:br/>
            </w:r>
          </w:p>
          <w:p w14:paraId="116E86E5" w14:textId="6ECE9C78" w:rsidR="00574853" w:rsidRPr="00ED5D41" w:rsidRDefault="00936E12" w:rsidP="00ED5D41">
            <w:pPr>
              <w:widowControl w:val="0"/>
              <w:numPr>
                <w:ilvl w:val="0"/>
                <w:numId w:val="4"/>
              </w:numPr>
              <w:spacing w:after="0" w:line="192" w:lineRule="auto"/>
              <w:rPr>
                <w:rFonts w:ascii="Arial" w:eastAsia="Arial" w:hAnsi="Arial" w:cs="Arial"/>
              </w:rPr>
            </w:pPr>
            <w:r w:rsidRPr="00AF1959">
              <w:rPr>
                <w:sz w:val="24"/>
                <w:szCs w:val="24"/>
              </w:rPr>
              <w:t>School-Based Enterprises or Community</w:t>
            </w:r>
            <w:r>
              <w:t xml:space="preserve"> Experiences</w:t>
            </w:r>
          </w:p>
          <w:p w14:paraId="5839C0FA" w14:textId="48433412" w:rsidR="00303ED8" w:rsidRDefault="00936E12" w:rsidP="00275D2C">
            <w:pPr>
              <w:spacing w:before="240" w:after="0"/>
              <w:rPr>
                <w:sz w:val="24"/>
                <w:szCs w:val="24"/>
              </w:rPr>
            </w:pPr>
            <w:r>
              <w:rPr>
                <w:sz w:val="24"/>
                <w:szCs w:val="24"/>
              </w:rPr>
              <w:t xml:space="preserve">*The </w:t>
            </w:r>
            <w:r>
              <w:rPr>
                <w:b/>
                <w:sz w:val="24"/>
                <w:szCs w:val="24"/>
              </w:rPr>
              <w:t>BOLDED</w:t>
            </w:r>
            <w:r>
              <w:rPr>
                <w:sz w:val="24"/>
                <w:szCs w:val="24"/>
              </w:rPr>
              <w:t xml:space="preserve"> </w:t>
            </w:r>
            <w:r w:rsidR="00275D2C">
              <w:rPr>
                <w:sz w:val="24"/>
                <w:szCs w:val="24"/>
              </w:rPr>
              <w:t>item</w:t>
            </w:r>
            <w:r w:rsidR="00303ED8">
              <w:rPr>
                <w:sz w:val="24"/>
                <w:szCs w:val="24"/>
              </w:rPr>
              <w:t>s</w:t>
            </w:r>
            <w:r>
              <w:rPr>
                <w:sz w:val="24"/>
                <w:szCs w:val="24"/>
              </w:rPr>
              <w:t xml:space="preserve"> are required in Indicator 13</w:t>
            </w:r>
            <w:r w:rsidR="00303ED8">
              <w:rPr>
                <w:sz w:val="24"/>
                <w:szCs w:val="24"/>
              </w:rPr>
              <w:t>.</w:t>
            </w:r>
          </w:p>
        </w:tc>
        <w:tc>
          <w:tcPr>
            <w:tcW w:w="2280" w:type="dxa"/>
            <w:shd w:val="clear" w:color="auto" w:fill="auto"/>
          </w:tcPr>
          <w:p w14:paraId="57417A65" w14:textId="11D96858" w:rsidR="00574853" w:rsidRPr="00275D2C" w:rsidRDefault="00936E12" w:rsidP="00275D2C">
            <w:pPr>
              <w:spacing w:before="240" w:after="0"/>
              <w:rPr>
                <w:sz w:val="24"/>
                <w:szCs w:val="24"/>
              </w:rPr>
            </w:pPr>
            <w:r w:rsidRPr="00275D2C">
              <w:rPr>
                <w:sz w:val="24"/>
                <w:szCs w:val="24"/>
              </w:rPr>
              <w:t>Student’s involvement in planning for their transition needs is evident and monitored in the student program with clear documentation in the IEP of age appropriate transition assessments, postsecondary goals, transition services, and one other of the remaining 3.</w:t>
            </w:r>
          </w:p>
        </w:tc>
        <w:tc>
          <w:tcPr>
            <w:tcW w:w="1845" w:type="dxa"/>
            <w:shd w:val="clear" w:color="auto" w:fill="auto"/>
          </w:tcPr>
          <w:p w14:paraId="060158F3" w14:textId="77777777" w:rsidR="00574853" w:rsidRPr="00275D2C" w:rsidRDefault="00574853">
            <w:pPr>
              <w:spacing w:after="0" w:line="240" w:lineRule="auto"/>
              <w:rPr>
                <w:sz w:val="24"/>
                <w:szCs w:val="24"/>
              </w:rPr>
            </w:pPr>
          </w:p>
          <w:p w14:paraId="7C531404" w14:textId="1D647CD9" w:rsidR="00574853" w:rsidRPr="00275D2C" w:rsidRDefault="00936E12">
            <w:pPr>
              <w:spacing w:after="0" w:line="240" w:lineRule="auto"/>
              <w:rPr>
                <w:sz w:val="24"/>
                <w:szCs w:val="24"/>
              </w:rPr>
            </w:pPr>
            <w:r w:rsidRPr="00275D2C">
              <w:rPr>
                <w:sz w:val="24"/>
                <w:szCs w:val="24"/>
              </w:rPr>
              <w:t>Student’s involvement in planning for their transition needs is evident and monitored in the student program with clear documentation in the IEP of the age appropriate transition assessments, measurable postsecondary goals, and transition services.</w:t>
            </w:r>
          </w:p>
          <w:p w14:paraId="6CDEC35D" w14:textId="6FFBFDB4" w:rsidR="00574853" w:rsidRPr="00275D2C" w:rsidRDefault="00574853">
            <w:pPr>
              <w:spacing w:after="0" w:line="240" w:lineRule="auto"/>
              <w:rPr>
                <w:sz w:val="24"/>
                <w:szCs w:val="24"/>
              </w:rPr>
            </w:pPr>
          </w:p>
        </w:tc>
        <w:tc>
          <w:tcPr>
            <w:tcW w:w="1605" w:type="dxa"/>
            <w:shd w:val="clear" w:color="auto" w:fill="auto"/>
          </w:tcPr>
          <w:p w14:paraId="4A1312FB" w14:textId="1E3919A4" w:rsidR="00574853" w:rsidRPr="00275D2C" w:rsidRDefault="00936E12">
            <w:pPr>
              <w:spacing w:before="240" w:after="0"/>
              <w:rPr>
                <w:sz w:val="24"/>
                <w:szCs w:val="24"/>
              </w:rPr>
            </w:pPr>
            <w:r w:rsidRPr="00275D2C">
              <w:rPr>
                <w:sz w:val="24"/>
                <w:szCs w:val="24"/>
              </w:rPr>
              <w:t>Student’s involvement in planning for their transition needs is not evident.</w:t>
            </w:r>
          </w:p>
          <w:p w14:paraId="58CC07EA" w14:textId="77777777" w:rsidR="00574853" w:rsidRPr="00275D2C" w:rsidRDefault="00574853">
            <w:pPr>
              <w:spacing w:after="0" w:line="240" w:lineRule="auto"/>
              <w:rPr>
                <w:sz w:val="24"/>
                <w:szCs w:val="24"/>
              </w:rPr>
            </w:pPr>
          </w:p>
          <w:p w14:paraId="265888F5" w14:textId="77777777" w:rsidR="00574853" w:rsidRPr="00275D2C" w:rsidRDefault="00574853">
            <w:pPr>
              <w:spacing w:after="0" w:line="240" w:lineRule="auto"/>
              <w:rPr>
                <w:sz w:val="24"/>
                <w:szCs w:val="24"/>
              </w:rPr>
            </w:pPr>
          </w:p>
          <w:p w14:paraId="2D8AD687" w14:textId="77777777" w:rsidR="00574853" w:rsidRPr="00275D2C" w:rsidRDefault="00574853">
            <w:pPr>
              <w:spacing w:after="0" w:line="240" w:lineRule="auto"/>
              <w:rPr>
                <w:sz w:val="24"/>
                <w:szCs w:val="24"/>
              </w:rPr>
            </w:pPr>
          </w:p>
          <w:p w14:paraId="4254C35F" w14:textId="77777777" w:rsidR="00574853" w:rsidRPr="00275D2C" w:rsidRDefault="00574853">
            <w:pPr>
              <w:spacing w:after="0" w:line="240" w:lineRule="auto"/>
              <w:rPr>
                <w:sz w:val="24"/>
                <w:szCs w:val="24"/>
              </w:rPr>
            </w:pPr>
          </w:p>
          <w:p w14:paraId="48D7F48B" w14:textId="77777777" w:rsidR="00574853" w:rsidRPr="00275D2C" w:rsidRDefault="00574853">
            <w:pPr>
              <w:spacing w:after="0" w:line="240" w:lineRule="auto"/>
              <w:rPr>
                <w:sz w:val="24"/>
                <w:szCs w:val="24"/>
              </w:rPr>
            </w:pPr>
          </w:p>
          <w:p w14:paraId="1FCD5AF4" w14:textId="77777777" w:rsidR="00574853" w:rsidRPr="00275D2C" w:rsidRDefault="00574853">
            <w:pPr>
              <w:spacing w:after="0" w:line="240" w:lineRule="auto"/>
              <w:rPr>
                <w:sz w:val="24"/>
                <w:szCs w:val="24"/>
              </w:rPr>
            </w:pPr>
          </w:p>
          <w:p w14:paraId="2427100B" w14:textId="77777777" w:rsidR="00574853" w:rsidRPr="00275D2C" w:rsidRDefault="00574853">
            <w:pPr>
              <w:spacing w:after="0" w:line="240" w:lineRule="auto"/>
              <w:rPr>
                <w:sz w:val="24"/>
                <w:szCs w:val="24"/>
              </w:rPr>
            </w:pPr>
          </w:p>
          <w:p w14:paraId="099F41D4" w14:textId="77777777" w:rsidR="00574853" w:rsidRPr="00275D2C" w:rsidRDefault="00574853">
            <w:pPr>
              <w:spacing w:after="0" w:line="240" w:lineRule="auto"/>
              <w:rPr>
                <w:sz w:val="24"/>
                <w:szCs w:val="24"/>
              </w:rPr>
            </w:pPr>
          </w:p>
        </w:tc>
      </w:tr>
      <w:tr w:rsidR="00574853" w14:paraId="46286D8F" w14:textId="77777777" w:rsidTr="00D06106">
        <w:trPr>
          <w:trHeight w:val="288"/>
        </w:trPr>
        <w:tc>
          <w:tcPr>
            <w:tcW w:w="525" w:type="dxa"/>
            <w:shd w:val="clear" w:color="auto" w:fill="auto"/>
            <w:vAlign w:val="center"/>
          </w:tcPr>
          <w:p w14:paraId="3315E058" w14:textId="77777777" w:rsidR="00574853" w:rsidRDefault="00574853">
            <w:pPr>
              <w:spacing w:after="0" w:line="240" w:lineRule="auto"/>
              <w:jc w:val="center"/>
              <w:rPr>
                <w:sz w:val="20"/>
                <w:szCs w:val="20"/>
              </w:rPr>
            </w:pPr>
          </w:p>
        </w:tc>
        <w:tc>
          <w:tcPr>
            <w:tcW w:w="1720" w:type="dxa"/>
            <w:shd w:val="clear" w:color="auto" w:fill="auto"/>
            <w:vAlign w:val="center"/>
          </w:tcPr>
          <w:p w14:paraId="694C64DC" w14:textId="77777777" w:rsidR="00574853" w:rsidRDefault="00574853">
            <w:pPr>
              <w:spacing w:after="0" w:line="240" w:lineRule="auto"/>
              <w:rPr>
                <w:sz w:val="20"/>
                <w:szCs w:val="20"/>
              </w:rPr>
            </w:pPr>
          </w:p>
        </w:tc>
        <w:tc>
          <w:tcPr>
            <w:tcW w:w="5585" w:type="dxa"/>
            <w:shd w:val="clear" w:color="auto" w:fill="auto"/>
          </w:tcPr>
          <w:p w14:paraId="32C64468" w14:textId="3FE2BD22" w:rsidR="00303ED8" w:rsidRDefault="00303ED8" w:rsidP="00303ED8">
            <w:pPr>
              <w:pBdr>
                <w:top w:val="nil"/>
                <w:left w:val="nil"/>
                <w:bottom w:val="nil"/>
                <w:right w:val="nil"/>
                <w:between w:val="nil"/>
              </w:pBdr>
              <w:spacing w:after="0" w:line="240" w:lineRule="auto"/>
              <w:rPr>
                <w:sz w:val="20"/>
                <w:szCs w:val="20"/>
              </w:rPr>
            </w:pPr>
          </w:p>
        </w:tc>
        <w:tc>
          <w:tcPr>
            <w:tcW w:w="2280" w:type="dxa"/>
            <w:shd w:val="clear" w:color="auto" w:fill="auto"/>
          </w:tcPr>
          <w:p w14:paraId="7B3B269D" w14:textId="77777777" w:rsidR="00574853" w:rsidRDefault="00574853">
            <w:pPr>
              <w:spacing w:after="0" w:line="240" w:lineRule="auto"/>
              <w:rPr>
                <w:sz w:val="20"/>
                <w:szCs w:val="20"/>
              </w:rPr>
            </w:pPr>
          </w:p>
        </w:tc>
        <w:tc>
          <w:tcPr>
            <w:tcW w:w="1845" w:type="dxa"/>
            <w:shd w:val="clear" w:color="auto" w:fill="auto"/>
          </w:tcPr>
          <w:p w14:paraId="27455743" w14:textId="77777777" w:rsidR="00574853" w:rsidRDefault="00574853">
            <w:pPr>
              <w:spacing w:after="0" w:line="240" w:lineRule="auto"/>
              <w:rPr>
                <w:sz w:val="20"/>
                <w:szCs w:val="20"/>
              </w:rPr>
            </w:pPr>
          </w:p>
        </w:tc>
        <w:tc>
          <w:tcPr>
            <w:tcW w:w="1605" w:type="dxa"/>
            <w:shd w:val="clear" w:color="auto" w:fill="auto"/>
          </w:tcPr>
          <w:p w14:paraId="2A31737E" w14:textId="77777777" w:rsidR="00574853" w:rsidRDefault="00574853">
            <w:pPr>
              <w:spacing w:after="0" w:line="240" w:lineRule="auto"/>
              <w:rPr>
                <w:sz w:val="20"/>
                <w:szCs w:val="20"/>
              </w:rPr>
            </w:pPr>
          </w:p>
        </w:tc>
      </w:tr>
      <w:tr w:rsidR="00574853" w14:paraId="28AEE1BF" w14:textId="77777777" w:rsidTr="00D06106">
        <w:trPr>
          <w:trHeight w:val="288"/>
        </w:trPr>
        <w:tc>
          <w:tcPr>
            <w:tcW w:w="525" w:type="dxa"/>
            <w:shd w:val="clear" w:color="auto" w:fill="auto"/>
            <w:vAlign w:val="center"/>
          </w:tcPr>
          <w:p w14:paraId="17FFD70D" w14:textId="77777777" w:rsidR="00574853" w:rsidRDefault="00574853">
            <w:pPr>
              <w:spacing w:after="0" w:line="240" w:lineRule="auto"/>
              <w:jc w:val="center"/>
              <w:rPr>
                <w:sz w:val="20"/>
                <w:szCs w:val="20"/>
              </w:rPr>
            </w:pPr>
          </w:p>
        </w:tc>
        <w:tc>
          <w:tcPr>
            <w:tcW w:w="1720" w:type="dxa"/>
            <w:shd w:val="clear" w:color="auto" w:fill="auto"/>
            <w:vAlign w:val="center"/>
          </w:tcPr>
          <w:p w14:paraId="4CE9C7DE" w14:textId="77777777" w:rsidR="00574853" w:rsidRDefault="00936E12">
            <w:pPr>
              <w:spacing w:after="0" w:line="240" w:lineRule="auto"/>
              <w:jc w:val="center"/>
              <w:rPr>
                <w:b/>
                <w:sz w:val="24"/>
                <w:szCs w:val="24"/>
              </w:rPr>
            </w:pPr>
            <w:r>
              <w:rPr>
                <w:b/>
                <w:sz w:val="24"/>
                <w:szCs w:val="24"/>
              </w:rPr>
              <w:t>Essential Function</w:t>
            </w:r>
          </w:p>
        </w:tc>
        <w:tc>
          <w:tcPr>
            <w:tcW w:w="5585" w:type="dxa"/>
            <w:shd w:val="clear" w:color="auto" w:fill="auto"/>
          </w:tcPr>
          <w:p w14:paraId="3FA567B1" w14:textId="77777777" w:rsidR="00574853" w:rsidRDefault="00936E12">
            <w:pPr>
              <w:pBdr>
                <w:top w:val="nil"/>
                <w:left w:val="nil"/>
                <w:bottom w:val="nil"/>
                <w:right w:val="nil"/>
                <w:between w:val="nil"/>
              </w:pBdr>
              <w:spacing w:after="0" w:line="240" w:lineRule="auto"/>
              <w:ind w:left="720"/>
              <w:rPr>
                <w:b/>
                <w:sz w:val="24"/>
                <w:szCs w:val="24"/>
              </w:rPr>
            </w:pPr>
            <w:r>
              <w:rPr>
                <w:b/>
                <w:sz w:val="24"/>
                <w:szCs w:val="24"/>
              </w:rPr>
              <w:t>Exemplary Implementation</w:t>
            </w:r>
          </w:p>
        </w:tc>
        <w:tc>
          <w:tcPr>
            <w:tcW w:w="2280" w:type="dxa"/>
            <w:shd w:val="clear" w:color="auto" w:fill="auto"/>
          </w:tcPr>
          <w:p w14:paraId="4787B530" w14:textId="77777777" w:rsidR="00574853" w:rsidRDefault="00936E12">
            <w:pPr>
              <w:spacing w:after="0" w:line="240" w:lineRule="auto"/>
              <w:jc w:val="center"/>
              <w:rPr>
                <w:b/>
                <w:sz w:val="24"/>
                <w:szCs w:val="24"/>
              </w:rPr>
            </w:pPr>
            <w:r>
              <w:rPr>
                <w:b/>
                <w:sz w:val="24"/>
                <w:szCs w:val="24"/>
              </w:rPr>
              <w:t>Proficient</w:t>
            </w:r>
          </w:p>
        </w:tc>
        <w:tc>
          <w:tcPr>
            <w:tcW w:w="1845" w:type="dxa"/>
            <w:shd w:val="clear" w:color="auto" w:fill="auto"/>
          </w:tcPr>
          <w:p w14:paraId="3C3EBBA5" w14:textId="77777777" w:rsidR="00574853" w:rsidRDefault="00936E12">
            <w:pPr>
              <w:spacing w:after="0" w:line="240" w:lineRule="auto"/>
              <w:jc w:val="center"/>
              <w:rPr>
                <w:b/>
                <w:sz w:val="20"/>
                <w:szCs w:val="20"/>
              </w:rPr>
            </w:pPr>
            <w:r>
              <w:rPr>
                <w:b/>
                <w:sz w:val="20"/>
                <w:szCs w:val="20"/>
              </w:rPr>
              <w:t>Close to Proficient</w:t>
            </w:r>
          </w:p>
          <w:p w14:paraId="4DB16E2D" w14:textId="77777777" w:rsidR="00574853" w:rsidRDefault="00936E12">
            <w:pPr>
              <w:spacing w:after="0" w:line="240" w:lineRule="auto"/>
              <w:rPr>
                <w:sz w:val="20"/>
                <w:szCs w:val="20"/>
              </w:rPr>
            </w:pPr>
            <w:r>
              <w:rPr>
                <w:sz w:val="18"/>
                <w:szCs w:val="18"/>
              </w:rPr>
              <w:t>(Skill is emerging, but not yet to proficiency. Coaching is recommended</w:t>
            </w:r>
          </w:p>
        </w:tc>
        <w:tc>
          <w:tcPr>
            <w:tcW w:w="1605" w:type="dxa"/>
            <w:shd w:val="clear" w:color="auto" w:fill="auto"/>
          </w:tcPr>
          <w:p w14:paraId="2ADC87E5" w14:textId="77777777" w:rsidR="00574853" w:rsidRDefault="00936E12">
            <w:pPr>
              <w:spacing w:after="0" w:line="240" w:lineRule="auto"/>
              <w:jc w:val="center"/>
              <w:rPr>
                <w:i/>
                <w:sz w:val="20"/>
                <w:szCs w:val="20"/>
              </w:rPr>
            </w:pPr>
            <w:r>
              <w:rPr>
                <w:b/>
                <w:sz w:val="20"/>
                <w:szCs w:val="20"/>
              </w:rPr>
              <w:t>Far from Proficient</w:t>
            </w:r>
            <w:r>
              <w:rPr>
                <w:i/>
                <w:sz w:val="20"/>
                <w:szCs w:val="20"/>
              </w:rPr>
              <w:t xml:space="preserve"> </w:t>
            </w:r>
          </w:p>
          <w:p w14:paraId="695623F8" w14:textId="77777777" w:rsidR="00574853" w:rsidRDefault="00936E12">
            <w:pPr>
              <w:spacing w:after="0" w:line="240" w:lineRule="auto"/>
              <w:rPr>
                <w:sz w:val="20"/>
                <w:szCs w:val="20"/>
              </w:rPr>
            </w:pPr>
            <w:r>
              <w:rPr>
                <w:sz w:val="18"/>
                <w:szCs w:val="18"/>
              </w:rPr>
              <w:t>(Follow-up professional development and coaching are critical.)</w:t>
            </w:r>
          </w:p>
        </w:tc>
      </w:tr>
      <w:tr w:rsidR="00574853" w14:paraId="764594BE" w14:textId="77777777" w:rsidTr="00D06106">
        <w:trPr>
          <w:trHeight w:val="288"/>
        </w:trPr>
        <w:tc>
          <w:tcPr>
            <w:tcW w:w="525" w:type="dxa"/>
            <w:shd w:val="clear" w:color="auto" w:fill="auto"/>
            <w:vAlign w:val="center"/>
          </w:tcPr>
          <w:p w14:paraId="58173181" w14:textId="77777777" w:rsidR="00574853" w:rsidRDefault="00936E12">
            <w:pPr>
              <w:spacing w:after="0" w:line="240" w:lineRule="auto"/>
              <w:jc w:val="center"/>
              <w:rPr>
                <w:sz w:val="20"/>
                <w:szCs w:val="20"/>
              </w:rPr>
            </w:pPr>
            <w:r>
              <w:rPr>
                <w:sz w:val="20"/>
                <w:szCs w:val="20"/>
              </w:rPr>
              <w:t>3</w:t>
            </w:r>
          </w:p>
        </w:tc>
        <w:tc>
          <w:tcPr>
            <w:tcW w:w="1720" w:type="dxa"/>
            <w:shd w:val="clear" w:color="auto" w:fill="auto"/>
            <w:vAlign w:val="center"/>
          </w:tcPr>
          <w:p w14:paraId="0CD308E5" w14:textId="7330D185" w:rsidR="00574853" w:rsidRPr="00275D2C" w:rsidRDefault="00936E12">
            <w:pPr>
              <w:spacing w:after="0" w:line="240" w:lineRule="auto"/>
              <w:rPr>
                <w:sz w:val="24"/>
                <w:szCs w:val="24"/>
              </w:rPr>
            </w:pPr>
            <w:r w:rsidRPr="00275D2C">
              <w:rPr>
                <w:sz w:val="24"/>
                <w:szCs w:val="24"/>
              </w:rPr>
              <w:t>Educators develop and implement a clearly de</w:t>
            </w:r>
            <w:r w:rsidR="00D06106">
              <w:rPr>
                <w:sz w:val="24"/>
                <w:szCs w:val="24"/>
              </w:rPr>
              <w:t>fined model of Self- Determinati</w:t>
            </w:r>
            <w:r w:rsidRPr="00275D2C">
              <w:rPr>
                <w:sz w:val="24"/>
                <w:szCs w:val="24"/>
              </w:rPr>
              <w:t>on for student mastery and practice within their entire curriculum.</w:t>
            </w:r>
          </w:p>
        </w:tc>
        <w:tc>
          <w:tcPr>
            <w:tcW w:w="5585" w:type="dxa"/>
            <w:shd w:val="clear" w:color="auto" w:fill="auto"/>
          </w:tcPr>
          <w:p w14:paraId="1708E34E" w14:textId="77777777" w:rsidR="00574853" w:rsidRPr="00275D2C" w:rsidRDefault="00936E12">
            <w:pPr>
              <w:pBdr>
                <w:top w:val="nil"/>
                <w:left w:val="nil"/>
                <w:bottom w:val="nil"/>
                <w:right w:val="nil"/>
                <w:between w:val="nil"/>
              </w:pBdr>
              <w:spacing w:after="0" w:line="240" w:lineRule="auto"/>
              <w:rPr>
                <w:sz w:val="24"/>
                <w:szCs w:val="24"/>
              </w:rPr>
            </w:pPr>
            <w:r w:rsidRPr="00275D2C">
              <w:rPr>
                <w:sz w:val="24"/>
                <w:szCs w:val="24"/>
              </w:rPr>
              <w:t>The IEP Team will provide documented evidence in the transition programming that clearly shows that the  student exhibits behaviors and acts in a manner in all these areas that reveals the student</w:t>
            </w:r>
          </w:p>
          <w:p w14:paraId="4B04DDF5" w14:textId="77777777" w:rsidR="00574853" w:rsidRPr="00275D2C" w:rsidRDefault="00936E12">
            <w:pPr>
              <w:numPr>
                <w:ilvl w:val="0"/>
                <w:numId w:val="1"/>
              </w:numPr>
              <w:pBdr>
                <w:top w:val="nil"/>
                <w:left w:val="nil"/>
                <w:bottom w:val="nil"/>
                <w:right w:val="nil"/>
                <w:between w:val="nil"/>
              </w:pBdr>
              <w:spacing w:after="0" w:line="240" w:lineRule="auto"/>
              <w:rPr>
                <w:sz w:val="24"/>
                <w:szCs w:val="24"/>
              </w:rPr>
            </w:pPr>
            <w:r w:rsidRPr="00275D2C">
              <w:rPr>
                <w:rFonts w:eastAsia="Calibri"/>
                <w:color w:val="000000"/>
                <w:sz w:val="24"/>
                <w:szCs w:val="24"/>
              </w:rPr>
              <w:t>knows him/herself and their environment</w:t>
            </w:r>
          </w:p>
          <w:p w14:paraId="14C3E9CE" w14:textId="77777777" w:rsidR="00574853" w:rsidRPr="00275D2C" w:rsidRDefault="00936E12">
            <w:pPr>
              <w:numPr>
                <w:ilvl w:val="0"/>
                <w:numId w:val="1"/>
              </w:numPr>
              <w:pBdr>
                <w:top w:val="nil"/>
                <w:left w:val="nil"/>
                <w:bottom w:val="nil"/>
                <w:right w:val="nil"/>
                <w:between w:val="nil"/>
              </w:pBdr>
              <w:spacing w:after="0" w:line="240" w:lineRule="auto"/>
              <w:rPr>
                <w:rFonts w:eastAsia="Calibri"/>
                <w:color w:val="000000"/>
                <w:sz w:val="24"/>
                <w:szCs w:val="24"/>
              </w:rPr>
            </w:pPr>
            <w:r w:rsidRPr="00275D2C">
              <w:rPr>
                <w:rFonts w:eastAsia="Calibri"/>
                <w:color w:val="000000"/>
                <w:sz w:val="24"/>
                <w:szCs w:val="24"/>
              </w:rPr>
              <w:t>values him/herself</w:t>
            </w:r>
          </w:p>
          <w:p w14:paraId="3AED4998" w14:textId="77777777" w:rsidR="00574853" w:rsidRPr="00275D2C" w:rsidRDefault="00936E12">
            <w:pPr>
              <w:numPr>
                <w:ilvl w:val="0"/>
                <w:numId w:val="1"/>
              </w:numPr>
              <w:pBdr>
                <w:top w:val="nil"/>
                <w:left w:val="nil"/>
                <w:bottom w:val="nil"/>
                <w:right w:val="nil"/>
                <w:between w:val="nil"/>
              </w:pBdr>
              <w:spacing w:after="0" w:line="240" w:lineRule="auto"/>
              <w:rPr>
                <w:rFonts w:eastAsia="Calibri"/>
                <w:color w:val="000000"/>
                <w:sz w:val="24"/>
                <w:szCs w:val="24"/>
              </w:rPr>
            </w:pPr>
            <w:r w:rsidRPr="00275D2C">
              <w:rPr>
                <w:rFonts w:eastAsia="Calibri"/>
                <w:color w:val="000000"/>
                <w:sz w:val="24"/>
                <w:szCs w:val="24"/>
              </w:rPr>
              <w:t>shows skill in planning</w:t>
            </w:r>
          </w:p>
          <w:p w14:paraId="3C2D2A2E" w14:textId="77777777" w:rsidR="00574853" w:rsidRPr="00275D2C" w:rsidRDefault="00936E12">
            <w:pPr>
              <w:numPr>
                <w:ilvl w:val="0"/>
                <w:numId w:val="1"/>
              </w:numPr>
              <w:pBdr>
                <w:top w:val="nil"/>
                <w:left w:val="nil"/>
                <w:bottom w:val="nil"/>
                <w:right w:val="nil"/>
                <w:between w:val="nil"/>
              </w:pBdr>
              <w:spacing w:after="0" w:line="240" w:lineRule="auto"/>
              <w:rPr>
                <w:rFonts w:eastAsia="Calibri"/>
                <w:color w:val="000000"/>
                <w:sz w:val="24"/>
                <w:szCs w:val="24"/>
              </w:rPr>
            </w:pPr>
            <w:r w:rsidRPr="00275D2C">
              <w:rPr>
                <w:rFonts w:eastAsia="Calibri"/>
                <w:color w:val="000000"/>
                <w:sz w:val="24"/>
                <w:szCs w:val="24"/>
              </w:rPr>
              <w:t xml:space="preserve">shows skill in </w:t>
            </w:r>
            <w:r w:rsidRPr="00275D2C">
              <w:rPr>
                <w:sz w:val="24"/>
                <w:szCs w:val="24"/>
              </w:rPr>
              <w:t>adapting to various social situations</w:t>
            </w:r>
          </w:p>
          <w:p w14:paraId="2BB7F802" w14:textId="77777777" w:rsidR="00574853" w:rsidRPr="00275D2C" w:rsidRDefault="00936E12">
            <w:pPr>
              <w:numPr>
                <w:ilvl w:val="0"/>
                <w:numId w:val="1"/>
              </w:numPr>
              <w:pBdr>
                <w:top w:val="nil"/>
                <w:left w:val="nil"/>
                <w:bottom w:val="nil"/>
                <w:right w:val="nil"/>
                <w:between w:val="nil"/>
              </w:pBdr>
              <w:spacing w:after="0" w:line="240" w:lineRule="auto"/>
              <w:rPr>
                <w:rFonts w:eastAsia="Calibri"/>
                <w:color w:val="000000"/>
                <w:sz w:val="24"/>
                <w:szCs w:val="24"/>
              </w:rPr>
            </w:pPr>
            <w:r w:rsidRPr="00275D2C">
              <w:rPr>
                <w:rFonts w:eastAsia="Calibri"/>
                <w:color w:val="000000"/>
                <w:sz w:val="24"/>
                <w:szCs w:val="24"/>
              </w:rPr>
              <w:t>acknowledges the outcomes and accepts new learning</w:t>
            </w:r>
          </w:p>
        </w:tc>
        <w:tc>
          <w:tcPr>
            <w:tcW w:w="2280" w:type="dxa"/>
            <w:shd w:val="clear" w:color="auto" w:fill="auto"/>
          </w:tcPr>
          <w:p w14:paraId="4BB241A3" w14:textId="48706EEC" w:rsidR="00574853" w:rsidRPr="00275D2C" w:rsidRDefault="00936E12">
            <w:pPr>
              <w:spacing w:after="0" w:line="240" w:lineRule="auto"/>
              <w:rPr>
                <w:sz w:val="24"/>
                <w:szCs w:val="24"/>
              </w:rPr>
            </w:pPr>
            <w:r w:rsidRPr="00275D2C">
              <w:rPr>
                <w:sz w:val="24"/>
                <w:szCs w:val="24"/>
              </w:rPr>
              <w:t>The IEP Team will provide documented evidence in the transition programm</w:t>
            </w:r>
            <w:r w:rsidR="00275D2C">
              <w:rPr>
                <w:sz w:val="24"/>
                <w:szCs w:val="24"/>
              </w:rPr>
              <w:t>ing that clearly shows that the</w:t>
            </w:r>
            <w:r w:rsidRPr="00275D2C">
              <w:rPr>
                <w:sz w:val="24"/>
                <w:szCs w:val="24"/>
              </w:rPr>
              <w:t xml:space="preserve"> student exhibits behaviors and acts in a manner in 4 areas.</w:t>
            </w:r>
          </w:p>
        </w:tc>
        <w:tc>
          <w:tcPr>
            <w:tcW w:w="1845" w:type="dxa"/>
            <w:shd w:val="clear" w:color="auto" w:fill="auto"/>
          </w:tcPr>
          <w:p w14:paraId="108CED0C" w14:textId="39A4E53A" w:rsidR="00574853" w:rsidRPr="00275D2C" w:rsidRDefault="00936E12">
            <w:pPr>
              <w:spacing w:after="0" w:line="240" w:lineRule="auto"/>
              <w:rPr>
                <w:sz w:val="24"/>
                <w:szCs w:val="24"/>
              </w:rPr>
            </w:pPr>
            <w:r w:rsidRPr="00275D2C">
              <w:rPr>
                <w:sz w:val="24"/>
                <w:szCs w:val="24"/>
              </w:rPr>
              <w:t>The IEP Team will provide documented evidence in the transition programm</w:t>
            </w:r>
            <w:r w:rsidR="00275D2C">
              <w:rPr>
                <w:sz w:val="24"/>
                <w:szCs w:val="24"/>
              </w:rPr>
              <w:t>ing that clearly shows that the</w:t>
            </w:r>
            <w:r w:rsidRPr="00275D2C">
              <w:rPr>
                <w:sz w:val="24"/>
                <w:szCs w:val="24"/>
              </w:rPr>
              <w:t xml:space="preserve"> student exhibits behaviors and acts in a manner in 3 areas.</w:t>
            </w:r>
          </w:p>
        </w:tc>
        <w:tc>
          <w:tcPr>
            <w:tcW w:w="1605" w:type="dxa"/>
            <w:shd w:val="clear" w:color="auto" w:fill="auto"/>
          </w:tcPr>
          <w:p w14:paraId="096EAF3E" w14:textId="1941017D" w:rsidR="00574853" w:rsidRPr="00275D2C" w:rsidRDefault="00936E12" w:rsidP="00275D2C">
            <w:pPr>
              <w:spacing w:after="0" w:line="240" w:lineRule="auto"/>
              <w:rPr>
                <w:sz w:val="24"/>
                <w:szCs w:val="24"/>
              </w:rPr>
            </w:pPr>
            <w:r w:rsidRPr="00275D2C">
              <w:rPr>
                <w:sz w:val="24"/>
                <w:szCs w:val="24"/>
              </w:rPr>
              <w:t>The IEP Team will provide documented evidence in the transition programming that clearly shows that the student exhibits behaviors and acts in a manner in 2 areas.</w:t>
            </w:r>
          </w:p>
        </w:tc>
      </w:tr>
    </w:tbl>
    <w:p w14:paraId="66683834" w14:textId="77777777" w:rsidR="00574853" w:rsidRDefault="00574853">
      <w:pPr>
        <w:spacing w:after="0" w:line="240" w:lineRule="auto"/>
        <w:rPr>
          <w:sz w:val="16"/>
          <w:szCs w:val="16"/>
        </w:rPr>
      </w:pPr>
    </w:p>
    <w:p w14:paraId="47411468" w14:textId="77777777" w:rsidR="00574853" w:rsidRDefault="00936E12">
      <w:pPr>
        <w:spacing w:after="0" w:line="240" w:lineRule="auto"/>
        <w:rPr>
          <w:sz w:val="16"/>
          <w:szCs w:val="16"/>
        </w:rPr>
      </w:pPr>
      <w:r>
        <w:rPr>
          <w:sz w:val="16"/>
          <w:szCs w:val="16"/>
        </w:rPr>
        <w:t>Reflection 1:  Date:__________________________________</w:t>
      </w:r>
    </w:p>
    <w:p w14:paraId="2D47D751" w14:textId="6E9CED3E" w:rsidR="00574853" w:rsidRDefault="00574853">
      <w:pPr>
        <w:spacing w:after="0" w:line="240" w:lineRule="auto"/>
        <w:rPr>
          <w:sz w:val="16"/>
          <w:szCs w:val="16"/>
        </w:rPr>
      </w:pPr>
    </w:p>
    <w:p w14:paraId="381C1172" w14:textId="77777777" w:rsidR="00574853" w:rsidRDefault="00574853">
      <w:pPr>
        <w:spacing w:after="0" w:line="240" w:lineRule="auto"/>
        <w:rPr>
          <w:sz w:val="16"/>
          <w:szCs w:val="16"/>
        </w:rPr>
      </w:pPr>
    </w:p>
    <w:p w14:paraId="27D62625" w14:textId="77777777" w:rsidR="00574853" w:rsidRDefault="00936E12">
      <w:pPr>
        <w:spacing w:after="0" w:line="240" w:lineRule="auto"/>
        <w:rPr>
          <w:sz w:val="16"/>
          <w:szCs w:val="16"/>
        </w:rPr>
      </w:pPr>
      <w:r>
        <w:rPr>
          <w:sz w:val="16"/>
          <w:szCs w:val="16"/>
        </w:rPr>
        <w:t>Reflection 2:  Date:_________________________________</w:t>
      </w:r>
    </w:p>
    <w:p w14:paraId="5D822A36" w14:textId="77777777" w:rsidR="00574853" w:rsidRDefault="00574853">
      <w:pPr>
        <w:spacing w:after="0" w:line="240" w:lineRule="auto"/>
        <w:rPr>
          <w:sz w:val="16"/>
          <w:szCs w:val="16"/>
        </w:rPr>
      </w:pPr>
    </w:p>
    <w:p w14:paraId="5D170159" w14:textId="4DBFF98D" w:rsidR="00574853" w:rsidRDefault="00574853">
      <w:pPr>
        <w:spacing w:after="0" w:line="240" w:lineRule="auto"/>
        <w:rPr>
          <w:sz w:val="16"/>
          <w:szCs w:val="16"/>
        </w:rPr>
      </w:pPr>
    </w:p>
    <w:p w14:paraId="569B98DC" w14:textId="77777777" w:rsidR="00574853" w:rsidRDefault="00936E12">
      <w:pPr>
        <w:spacing w:after="0" w:line="240" w:lineRule="auto"/>
        <w:rPr>
          <w:sz w:val="16"/>
          <w:szCs w:val="16"/>
        </w:rPr>
      </w:pPr>
      <w:r>
        <w:rPr>
          <w:sz w:val="16"/>
          <w:szCs w:val="16"/>
        </w:rPr>
        <w:t>Reflection 3: Date:_________________________________</w:t>
      </w:r>
    </w:p>
    <w:sectPr w:rsidR="00574853">
      <w:footerReference w:type="first" r:id="rId17"/>
      <w:pgSz w:w="15840" w:h="122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39CD3" w14:textId="77777777" w:rsidR="008E6AD7" w:rsidRDefault="008E6AD7">
      <w:pPr>
        <w:spacing w:after="0" w:line="240" w:lineRule="auto"/>
      </w:pPr>
      <w:r>
        <w:separator/>
      </w:r>
    </w:p>
  </w:endnote>
  <w:endnote w:type="continuationSeparator" w:id="0">
    <w:p w14:paraId="3BFDE9B3" w14:textId="77777777" w:rsidR="008E6AD7" w:rsidRDefault="008E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502A" w14:textId="77777777" w:rsidR="00574853" w:rsidRDefault="0057485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69CC3" w14:textId="439F8553" w:rsidR="00574853" w:rsidRDefault="00936E12">
    <w:pPr>
      <w:pBdr>
        <w:top w:val="single" w:sz="12" w:space="0" w:color="0D4170"/>
        <w:left w:val="nil"/>
        <w:bottom w:val="nil"/>
        <w:right w:val="nil"/>
        <w:between w:val="nil"/>
      </w:pBdr>
      <w:tabs>
        <w:tab w:val="center" w:pos="4680"/>
        <w:tab w:val="right" w:pos="9360"/>
        <w:tab w:val="right" w:pos="12960"/>
      </w:tabs>
      <w:spacing w:after="0" w:line="240" w:lineRule="auto"/>
      <w:rPr>
        <w:color w:val="000000"/>
      </w:rPr>
    </w:pPr>
    <w:r>
      <w:rPr>
        <w:color w:val="000000"/>
      </w:rPr>
      <w:t xml:space="preserve">DESE Transition Academy Practice Profile  </w:t>
    </w:r>
    <w:r w:rsidR="00ED5D41">
      <w:rPr>
        <w:color w:val="000000"/>
      </w:rPr>
      <w:t xml:space="preserve">        </w:t>
    </w:r>
    <w:r>
      <w:rPr>
        <w:color w:val="000000"/>
      </w:rPr>
      <w:t xml:space="preserve">DESE Transition Planning Group   Improvement Consultants     </w:t>
    </w:r>
    <w:r>
      <w:t>July</w:t>
    </w:r>
    <w:r>
      <w:rPr>
        <w:color w:val="000000"/>
      </w:rPr>
      <w:t xml:space="preserve"> 2020</w:t>
    </w:r>
  </w:p>
  <w:p w14:paraId="0088CA12" w14:textId="77777777" w:rsidR="00574853" w:rsidRDefault="00936E12">
    <w:pPr>
      <w:pBdr>
        <w:top w:val="single" w:sz="12" w:space="0" w:color="0D4170"/>
        <w:left w:val="nil"/>
        <w:bottom w:val="nil"/>
        <w:right w:val="nil"/>
        <w:between w:val="nil"/>
      </w:pBdr>
      <w:tabs>
        <w:tab w:val="center" w:pos="4680"/>
        <w:tab w:val="right" w:pos="9360"/>
        <w:tab w:val="right" w:pos="12960"/>
      </w:tabs>
      <w:spacing w:after="0" w:line="240" w:lineRule="auto"/>
      <w:rPr>
        <w:color w:val="000000"/>
      </w:rPr>
    </w:pPr>
    <w:r>
      <w:rPr>
        <w:color w:val="000000"/>
      </w:rPr>
      <w:tab/>
    </w:r>
  </w:p>
  <w:p w14:paraId="1ABCD73A" w14:textId="70FFDB55" w:rsidR="00574853" w:rsidRDefault="00936E12">
    <w:pPr>
      <w:pBdr>
        <w:top w:val="single" w:sz="12" w:space="0" w:color="0D4170"/>
        <w:left w:val="nil"/>
        <w:bottom w:val="nil"/>
        <w:right w:val="nil"/>
        <w:between w:val="nil"/>
      </w:pBdr>
      <w:tabs>
        <w:tab w:val="center" w:pos="4680"/>
        <w:tab w:val="right" w:pos="9360"/>
        <w:tab w:val="right" w:pos="12960"/>
      </w:tabs>
      <w:spacing w:after="0" w:line="240" w:lineRule="auto"/>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03ED8">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15D0" w14:textId="069238D5" w:rsidR="00574853" w:rsidRDefault="00936E12">
    <w:pPr>
      <w:pBdr>
        <w:top w:val="single" w:sz="12" w:space="0" w:color="0D4170"/>
        <w:left w:val="nil"/>
        <w:bottom w:val="nil"/>
        <w:right w:val="nil"/>
        <w:between w:val="nil"/>
      </w:pBdr>
      <w:tabs>
        <w:tab w:val="center" w:pos="4680"/>
        <w:tab w:val="right" w:pos="9360"/>
        <w:tab w:val="right" w:pos="12960"/>
      </w:tabs>
      <w:spacing w:after="0" w:line="240" w:lineRule="auto"/>
      <w:rPr>
        <w:color w:val="000000"/>
      </w:rPr>
    </w:pPr>
    <w:bookmarkStart w:id="2" w:name="_heading=h.gjdgxs" w:colFirst="0" w:colLast="0"/>
    <w:bookmarkEnd w:id="2"/>
    <w:r>
      <w:rPr>
        <w:color w:val="000000"/>
      </w:rPr>
      <w:t xml:space="preserve">DESE Transition Academy Practice Profile  </w:t>
    </w:r>
    <w:r>
      <w:rPr>
        <w:b/>
        <w:color w:val="000000"/>
      </w:rPr>
      <w:t xml:space="preserve"> </w:t>
    </w:r>
    <w:r>
      <w:rPr>
        <w:color w:val="000000"/>
      </w:rPr>
      <w:t xml:space="preserve">    DESE Transition Planning Group   Improvement Consultants    </w:t>
    </w:r>
    <w:r>
      <w:t>July</w:t>
    </w:r>
    <w:r>
      <w:rPr>
        <w:color w:val="000000"/>
      </w:rPr>
      <w:t xml:space="preserve"> 2020</w:t>
    </w:r>
  </w:p>
  <w:p w14:paraId="689FBC47" w14:textId="77777777" w:rsidR="00574853" w:rsidRDefault="00936E12">
    <w:pPr>
      <w:pBdr>
        <w:top w:val="nil"/>
        <w:left w:val="nil"/>
        <w:bottom w:val="nil"/>
        <w:right w:val="nil"/>
        <w:between w:val="nil"/>
      </w:pBdr>
      <w:tabs>
        <w:tab w:val="center" w:pos="4680"/>
        <w:tab w:val="right" w:pos="9360"/>
      </w:tabs>
      <w:spacing w:after="0" w:line="240" w:lineRule="auto"/>
      <w:rPr>
        <w:color w:val="000000"/>
      </w:rPr>
    </w:pPr>
    <w:r>
      <w:rPr>
        <w:color w:val="000000"/>
      </w:rPr>
      <w:t xml:space="preserve">This work is licensed under a </w:t>
    </w:r>
    <w:hyperlink r:id="rId1">
      <w:r>
        <w:rPr>
          <w:color w:val="5CA3D8"/>
          <w:u w:val="single"/>
        </w:rPr>
        <w:t>Creative Commons Attribution, Non-Commercial, No-Derivatives 4.0 International License</w:t>
      </w:r>
    </w:hyperlink>
    <w:r>
      <w:rPr>
        <w:color w:val="000000"/>
      </w:rPr>
      <w:t>.</w:t>
    </w:r>
    <w:r>
      <w:rPr>
        <w:noProof/>
      </w:rPr>
      <w:drawing>
        <wp:anchor distT="0" distB="0" distL="114300" distR="114300" simplePos="0" relativeHeight="251658240" behindDoc="0" locked="0" layoutInCell="1" hidden="0" allowOverlap="1" wp14:anchorId="4E326850" wp14:editId="7ED8B18E">
          <wp:simplePos x="0" y="0"/>
          <wp:positionH relativeFrom="column">
            <wp:posOffset>19052</wp:posOffset>
          </wp:positionH>
          <wp:positionV relativeFrom="paragraph">
            <wp:posOffset>27305</wp:posOffset>
          </wp:positionV>
          <wp:extent cx="838200" cy="295275"/>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38200" cy="295275"/>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E6B0" w14:textId="77777777" w:rsidR="00574853" w:rsidRDefault="00936E12">
    <w:pPr>
      <w:pBdr>
        <w:top w:val="single" w:sz="12" w:space="0" w:color="0D4170"/>
        <w:left w:val="nil"/>
        <w:bottom w:val="nil"/>
        <w:right w:val="nil"/>
        <w:between w:val="nil"/>
      </w:pBdr>
      <w:tabs>
        <w:tab w:val="center" w:pos="4680"/>
        <w:tab w:val="right" w:pos="9360"/>
      </w:tabs>
      <w:spacing w:after="0" w:line="240" w:lineRule="auto"/>
      <w:rPr>
        <w:color w:val="000000"/>
      </w:rPr>
    </w:pPr>
    <w:r>
      <w:rPr>
        <w:color w:val="000000"/>
      </w:rPr>
      <w:t>Missouri SPDG/MMD/DCI</w:t>
    </w:r>
    <w:r>
      <w:rPr>
        <w:color w:val="000000"/>
        <w:highlight w:val="yellow"/>
      </w:rPr>
      <w:t>[Insert PLM Topic Name]</w:t>
    </w:r>
  </w:p>
  <w:p w14:paraId="4782D8B6" w14:textId="77777777" w:rsidR="00574853" w:rsidRDefault="00936E12">
    <w:pPr>
      <w:pBdr>
        <w:top w:val="single" w:sz="12" w:space="0" w:color="0D4170"/>
        <w:left w:val="nil"/>
        <w:bottom w:val="nil"/>
        <w:right w:val="nil"/>
        <w:between w:val="nil"/>
      </w:pBdr>
      <w:tabs>
        <w:tab w:val="center" w:pos="4680"/>
        <w:tab w:val="right" w:pos="9360"/>
        <w:tab w:val="right" w:pos="12960"/>
      </w:tabs>
      <w:spacing w:after="0" w:line="240" w:lineRule="auto"/>
      <w:rPr>
        <w:color w:val="000000"/>
      </w:rPr>
    </w:pPr>
    <w:r>
      <w:rPr>
        <w:color w:val="000000"/>
        <w:highlight w:val="yellow"/>
      </w:rPr>
      <w:t>[Insert Date Created or Revised</w:t>
    </w:r>
    <w:r>
      <w:rPr>
        <w:color w:val="000000"/>
      </w:rPr>
      <w:tab/>
      <w:t xml:space="preserve">Page </w:t>
    </w: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AC609" w14:textId="77777777" w:rsidR="008E6AD7" w:rsidRDefault="008E6AD7">
      <w:pPr>
        <w:spacing w:after="0" w:line="240" w:lineRule="auto"/>
      </w:pPr>
      <w:r>
        <w:separator/>
      </w:r>
    </w:p>
  </w:footnote>
  <w:footnote w:type="continuationSeparator" w:id="0">
    <w:p w14:paraId="37A84CAC" w14:textId="77777777" w:rsidR="008E6AD7" w:rsidRDefault="008E6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DFA3" w14:textId="77777777" w:rsidR="00574853" w:rsidRDefault="0057485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DACB0" w14:textId="77777777" w:rsidR="00574853" w:rsidRDefault="0057485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8F51" w14:textId="77777777" w:rsidR="00574853" w:rsidRDefault="00574853">
    <w:pPr>
      <w:pBdr>
        <w:top w:val="nil"/>
        <w:left w:val="nil"/>
        <w:bottom w:val="nil"/>
        <w:right w:val="nil"/>
        <w:between w:val="nil"/>
      </w:pBdr>
      <w:tabs>
        <w:tab w:val="center" w:pos="4680"/>
        <w:tab w:val="right" w:pos="9360"/>
      </w:tabs>
      <w:spacing w:after="0" w:line="240" w:lineRule="auto"/>
      <w:rPr>
        <w:color w:val="000000"/>
      </w:rPr>
    </w:pPr>
  </w:p>
  <w:p w14:paraId="02A918F4" w14:textId="77777777" w:rsidR="00574853" w:rsidRDefault="00574853">
    <w:pPr>
      <w:pBdr>
        <w:top w:val="nil"/>
        <w:left w:val="nil"/>
        <w:bottom w:val="nil"/>
        <w:right w:val="nil"/>
        <w:between w:val="nil"/>
      </w:pBdr>
      <w:tabs>
        <w:tab w:val="center" w:pos="4680"/>
        <w:tab w:val="right" w:pos="9360"/>
      </w:tabs>
      <w:spacing w:after="0" w:line="240" w:lineRule="auto"/>
      <w:rPr>
        <w:color w:val="000000"/>
      </w:rPr>
    </w:pPr>
  </w:p>
  <w:p w14:paraId="2C2F0C4D" w14:textId="77777777" w:rsidR="00574853" w:rsidRDefault="0057485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2C0C"/>
    <w:multiLevelType w:val="multilevel"/>
    <w:tmpl w:val="1F92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64CD3"/>
    <w:multiLevelType w:val="multilevel"/>
    <w:tmpl w:val="17DA4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3619BB"/>
    <w:multiLevelType w:val="multilevel"/>
    <w:tmpl w:val="BFD6EE2E"/>
    <w:lvl w:ilvl="0">
      <w:start w:val="1"/>
      <w:numFmt w:val="bullet"/>
      <w:lvlText w:val="●"/>
      <w:lvlJc w:val="left"/>
      <w:pPr>
        <w:ind w:left="720" w:hanging="360"/>
      </w:pPr>
      <w:rPr>
        <w:rFonts w:ascii="Courier New" w:eastAsia="Courier New" w:hAnsi="Courier New" w:cs="Courier New"/>
        <w:shd w:val="clear" w:color="auto" w:fil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9D2DE9"/>
    <w:multiLevelType w:val="multilevel"/>
    <w:tmpl w:val="E0ACB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53"/>
    <w:rsid w:val="000917EC"/>
    <w:rsid w:val="002317BD"/>
    <w:rsid w:val="00275D2C"/>
    <w:rsid w:val="00303ED8"/>
    <w:rsid w:val="00325A3C"/>
    <w:rsid w:val="004808DA"/>
    <w:rsid w:val="00574853"/>
    <w:rsid w:val="00641A9D"/>
    <w:rsid w:val="007551C5"/>
    <w:rsid w:val="00836AC0"/>
    <w:rsid w:val="008E6AD7"/>
    <w:rsid w:val="00936E12"/>
    <w:rsid w:val="00A16FF1"/>
    <w:rsid w:val="00AF1959"/>
    <w:rsid w:val="00D06106"/>
    <w:rsid w:val="00DB39E1"/>
    <w:rsid w:val="00ED5D41"/>
    <w:rsid w:val="00F7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DA19"/>
  <w15:docId w15:val="{444682FB-0981-40F4-9D84-76F51B02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F67"/>
    <w:rPr>
      <w:rFonts w:eastAsia="Times New Roman"/>
    </w:rPr>
  </w:style>
  <w:style w:type="paragraph" w:styleId="Heading1">
    <w:name w:val="heading 1"/>
    <w:basedOn w:val="Normal"/>
    <w:next w:val="Normal"/>
    <w:link w:val="Heading1Char"/>
    <w:uiPriority w:val="9"/>
    <w:qFormat/>
    <w:rsid w:val="00780CBE"/>
    <w:pPr>
      <w:keepNext/>
      <w:keepLines/>
      <w:spacing w:before="480" w:after="0"/>
      <w:outlineLvl w:val="0"/>
    </w:pPr>
    <w:rPr>
      <w:rFonts w:ascii="Cambria" w:hAnsi="Cambria"/>
      <w:b/>
      <w:bCs/>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5E5F6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link w:val="CommentText"/>
    <w:uiPriority w:val="99"/>
    <w:semiHidden/>
    <w:rsid w:val="003609E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link w:val="CommentSubject"/>
    <w:uiPriority w:val="99"/>
    <w:semiHidden/>
    <w:rsid w:val="003609E1"/>
    <w:rPr>
      <w:rFonts w:eastAsia="Times New Roman"/>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09E1"/>
    <w:rPr>
      <w:rFonts w:ascii="Tahoma" w:eastAsia="Times New Roman"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link w:val="Header"/>
    <w:uiPriority w:val="99"/>
    <w:rsid w:val="00902389"/>
    <w:rPr>
      <w:rFonts w:eastAsia="Times New Roman"/>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link w:val="Footer"/>
    <w:uiPriority w:val="99"/>
    <w:rsid w:val="00902389"/>
    <w:rPr>
      <w:rFonts w:eastAsia="Times New Roman"/>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link w:val="FootnoteText"/>
    <w:uiPriority w:val="99"/>
    <w:semiHidden/>
    <w:rsid w:val="006E0D7D"/>
    <w:rPr>
      <w:rFonts w:eastAsia="Times New Roman"/>
      <w:sz w:val="20"/>
      <w:szCs w:val="20"/>
    </w:rPr>
  </w:style>
  <w:style w:type="character" w:styleId="FootnoteReference">
    <w:name w:val="footnote reference"/>
    <w:uiPriority w:val="99"/>
    <w:semiHidden/>
    <w:unhideWhenUsed/>
    <w:rsid w:val="006E0D7D"/>
    <w:rPr>
      <w:vertAlign w:val="superscript"/>
    </w:rPr>
  </w:style>
  <w:style w:type="character" w:customStyle="1" w:styleId="Heading1Char">
    <w:name w:val="Heading 1 Char"/>
    <w:link w:val="Heading1"/>
    <w:uiPriority w:val="9"/>
    <w:rsid w:val="00780CBE"/>
    <w:rPr>
      <w:rFonts w:ascii="Cambria" w:eastAsia="Times New Roman" w:hAnsi="Cambria" w:cs="Times New Roman"/>
      <w:b/>
      <w:bCs/>
      <w:color w:val="365F91"/>
      <w:sz w:val="28"/>
      <w:szCs w:val="28"/>
    </w:rPr>
  </w:style>
  <w:style w:type="character" w:styleId="Emphasis">
    <w:name w:val="Emphasis"/>
    <w:uiPriority w:val="20"/>
    <w:qFormat/>
    <w:rsid w:val="00780CBE"/>
    <w:rPr>
      <w:b/>
      <w:bCs/>
      <w:i/>
      <w:iCs/>
      <w:spacing w:val="10"/>
      <w:bdr w:val="none" w:sz="0" w:space="0" w:color="auto"/>
      <w:shd w:val="clear" w:color="auto" w:fill="auto"/>
    </w:rPr>
  </w:style>
  <w:style w:type="character" w:styleId="Hyperlink">
    <w:name w:val="Hyperlink"/>
    <w:uiPriority w:val="99"/>
    <w:unhideWhenUsed/>
    <w:rsid w:val="00FC5BF5"/>
    <w:rPr>
      <w:color w:val="5CA3D8"/>
      <w:u w:val="single"/>
    </w:rPr>
  </w:style>
  <w:style w:type="paragraph" w:customStyle="1" w:styleId="TableParagraph">
    <w:name w:val="Table Paragraph"/>
    <w:basedOn w:val="Normal"/>
    <w:uiPriority w:val="1"/>
    <w:qFormat/>
    <w:rsid w:val="00A22DF7"/>
    <w:pPr>
      <w:widowControl w:val="0"/>
      <w:autoSpaceDE w:val="0"/>
      <w:autoSpaceDN w:val="0"/>
      <w:spacing w:after="0" w:line="240" w:lineRule="exact"/>
      <w:ind w:left="250" w:hanging="180"/>
    </w:pPr>
    <w:rPr>
      <w:rFonts w:eastAsia="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A3E8F"/>
    <w:pPr>
      <w:spacing w:before="100" w:beforeAutospacing="1" w:after="100" w:afterAutospacing="1" w:line="240" w:lineRule="auto"/>
    </w:pPr>
    <w:rPr>
      <w:rFonts w:ascii="Times New Roman" w:hAnsi="Times New Roman" w:cs="Times New Roman"/>
      <w:sz w:val="24"/>
      <w:szCs w:val="24"/>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nd/4.0/" TargetMode="External"/></Relationship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62YXvUWrxZfaJjPaWTvxKit1UQ==">AMUW2mWZsTbGDfSKcHdCm1jmy85H5ef4d9h2KQl0yUyNCvg0HAtXZTHq9Zx5bL40CVWOp2EyqpJZWDQTd8bIaMwqtnMQ0gsw0OIYX1StdJ/ybaH0i0fOmLL7OSrm6tN0EDjR0dp8pnFZ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DDC225C3A91DC4F9021A6A42588995F" ma:contentTypeVersion="8" ma:contentTypeDescription="Create a new document." ma:contentTypeScope="" ma:versionID="f79edc0c4a235c6233b125e2c05d014f">
  <xsd:schema xmlns:xsd="http://www.w3.org/2001/XMLSchema" xmlns:xs="http://www.w3.org/2001/XMLSchema" xmlns:p="http://schemas.microsoft.com/office/2006/metadata/properties" xmlns:ns3="cf8694cf-1900-4765-80fc-9e18daf7304e" targetNamespace="http://schemas.microsoft.com/office/2006/metadata/properties" ma:root="true" ma:fieldsID="b0121230936420e8990911d2ed8308bb" ns3:_="">
    <xsd:import namespace="cf8694cf-1900-4765-80fc-9e18daf730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694cf-1900-4765-80fc-9e18daf73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88E47F-5034-45D7-BFEE-D5A5AAF52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694cf-1900-4765-80fc-9e18daf73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979AF-B298-4085-8535-6C2B8538E76A}">
  <ds:schemaRefs>
    <ds:schemaRef ds:uri="http://schemas.microsoft.com/sharepoint/v3/contenttype/forms"/>
  </ds:schemaRefs>
</ds:datastoreItem>
</file>

<file path=customXml/itemProps4.xml><?xml version="1.0" encoding="utf-8"?>
<ds:datastoreItem xmlns:ds="http://schemas.openxmlformats.org/officeDocument/2006/customXml" ds:itemID="{BD9C63FC-E3D6-4B23-91F2-79EFAD9D5B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Education Plus</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Chelie A Nelson</cp:lastModifiedBy>
  <cp:revision>2</cp:revision>
  <dcterms:created xsi:type="dcterms:W3CDTF">2020-10-07T22:38:00Z</dcterms:created>
  <dcterms:modified xsi:type="dcterms:W3CDTF">2020-10-07T22:38:00Z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0x010100FDDC225C3A91DC4F9021A6A42588995F</vt:lpwstr>
  </property>
</Properties>
</file>