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A7A9" w14:textId="06EB3875" w:rsidR="00780CBE" w:rsidRPr="00AF6620" w:rsidRDefault="00780CBE" w:rsidP="00780CBE">
      <w:pPr>
        <w:pStyle w:val="Heading1"/>
        <w:spacing w:before="0"/>
        <w:rPr>
          <w:color w:val="000000" w:themeColor="text1"/>
        </w:rPr>
      </w:pPr>
      <w:r w:rsidRPr="00AF6620">
        <w:rPr>
          <w:color w:val="000000" w:themeColor="text1"/>
        </w:rPr>
        <w:t>Practice Profile</w:t>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Pr>
          <w:color w:val="000000" w:themeColor="text1"/>
        </w:rPr>
        <w:tab/>
      </w:r>
      <w:r w:rsidR="004D3A7F" w:rsidRPr="004D3A7F">
        <w:rPr>
          <w:b w:val="0"/>
          <w:color w:val="000000" w:themeColor="text1"/>
          <w:sz w:val="24"/>
          <w:szCs w:val="24"/>
        </w:rPr>
        <w:t>HO #10</w:t>
      </w:r>
    </w:p>
    <w:p w14:paraId="0AA6CBCD" w14:textId="77777777" w:rsidR="00780CBE" w:rsidRPr="00AF6620" w:rsidRDefault="00780CBE" w:rsidP="00E511E7">
      <w:pPr>
        <w:spacing w:after="160" w:line="240" w:lineRule="auto"/>
        <w:rPr>
          <w:bCs/>
          <w:sz w:val="24"/>
          <w:szCs w:val="24"/>
        </w:rPr>
      </w:pPr>
      <w:r w:rsidRPr="00AF6620">
        <w:rPr>
          <w:bCs/>
          <w:iCs/>
          <w:sz w:val="24"/>
          <w:szCs w:val="24"/>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AF6620">
        <w:rPr>
          <w:bCs/>
          <w:iCs/>
          <w:sz w:val="24"/>
          <w:szCs w:val="24"/>
        </w:rPr>
        <w:t>Hord’s</w:t>
      </w:r>
      <w:proofErr w:type="spellEnd"/>
      <w:r w:rsidRPr="00AF6620">
        <w:rPr>
          <w:bCs/>
          <w:iCs/>
          <w:sz w:val="24"/>
          <w:szCs w:val="24"/>
        </w:rPr>
        <w:t xml:space="preserve"> (2006) Innovation Configuration Mapping (NIRN, 2011).</w:t>
      </w:r>
    </w:p>
    <w:p w14:paraId="3BE51CF0" w14:textId="77777777" w:rsidR="00780CBE" w:rsidRPr="00AF6620" w:rsidRDefault="00780CBE" w:rsidP="003865C5">
      <w:pPr>
        <w:spacing w:after="240" w:line="240" w:lineRule="auto"/>
        <w:rPr>
          <w:bCs/>
          <w:iCs/>
          <w:sz w:val="24"/>
          <w:szCs w:val="24"/>
        </w:rPr>
      </w:pPr>
      <w:r w:rsidRPr="00AF6620">
        <w:rPr>
          <w:bCs/>
          <w:iCs/>
          <w:sz w:val="24"/>
          <w:szCs w:val="24"/>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14:paraId="5F93F622" w14:textId="77777777" w:rsidR="00780CBE" w:rsidRPr="00E511E7" w:rsidRDefault="00780CBE" w:rsidP="003865C5">
      <w:pPr>
        <w:spacing w:after="0" w:line="240" w:lineRule="auto"/>
        <w:rPr>
          <w:rStyle w:val="Emphasis"/>
          <w:bCs w:val="0"/>
          <w:i w:val="0"/>
          <w:iCs w:val="0"/>
          <w:color w:val="000000" w:themeColor="text1"/>
          <w:sz w:val="28"/>
          <w:szCs w:val="28"/>
        </w:rPr>
      </w:pPr>
      <w:r w:rsidRPr="00E511E7">
        <w:rPr>
          <w:rStyle w:val="Emphasis"/>
          <w:color w:val="000000" w:themeColor="text1"/>
          <w:sz w:val="28"/>
          <w:szCs w:val="28"/>
        </w:rPr>
        <w:t>How to Use the Practice Profile</w:t>
      </w:r>
    </w:p>
    <w:p w14:paraId="4A56531D" w14:textId="77777777" w:rsidR="00447BD3" w:rsidRDefault="00780CBE" w:rsidP="00447BD3">
      <w:pPr>
        <w:spacing w:line="240" w:lineRule="auto"/>
        <w:rPr>
          <w:bCs/>
          <w:iCs/>
          <w:sz w:val="24"/>
          <w:szCs w:val="24"/>
        </w:rPr>
      </w:pPr>
      <w:r w:rsidRPr="00AF6620">
        <w:rPr>
          <w:bCs/>
          <w:iCs/>
          <w:sz w:val="24"/>
          <w:szCs w:val="24"/>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w:t>
      </w:r>
      <w:r w:rsidR="00447BD3">
        <w:rPr>
          <w:bCs/>
          <w:iCs/>
          <w:sz w:val="24"/>
          <w:szCs w:val="24"/>
        </w:rPr>
        <w:t>cklists</w:t>
      </w:r>
    </w:p>
    <w:p w14:paraId="6CBF546D" w14:textId="77777777" w:rsidR="00447BD3" w:rsidRDefault="00447BD3" w:rsidP="00447BD3">
      <w:pPr>
        <w:spacing w:line="240" w:lineRule="auto"/>
        <w:rPr>
          <w:bCs/>
          <w:iCs/>
          <w:sz w:val="24"/>
          <w:szCs w:val="24"/>
        </w:rPr>
      </w:pPr>
    </w:p>
    <w:p w14:paraId="0316D216" w14:textId="77777777" w:rsidR="00447BD3" w:rsidRDefault="00447BD3" w:rsidP="00447BD3">
      <w:pPr>
        <w:spacing w:line="240" w:lineRule="auto"/>
        <w:rPr>
          <w:bCs/>
          <w:iCs/>
          <w:sz w:val="24"/>
          <w:szCs w:val="24"/>
        </w:rPr>
      </w:pPr>
    </w:p>
    <w:p w14:paraId="1D864C78" w14:textId="77777777" w:rsidR="001C2A4A" w:rsidRDefault="001C2A4A">
      <w:pPr>
        <w:rPr>
          <w:bCs/>
          <w:iCs/>
          <w:sz w:val="24"/>
          <w:szCs w:val="24"/>
        </w:rPr>
      </w:pPr>
      <w:r>
        <w:rPr>
          <w:bCs/>
          <w:iCs/>
          <w:sz w:val="24"/>
          <w:szCs w:val="24"/>
        </w:rPr>
        <w:br w:type="page"/>
      </w:r>
      <w:bookmarkStart w:id="0" w:name="_GoBack"/>
      <w:bookmarkEnd w:id="0"/>
    </w:p>
    <w:p w14:paraId="44304D18" w14:textId="21C099E6" w:rsidR="00784AA8" w:rsidRPr="00447BD3" w:rsidRDefault="00194BB8" w:rsidP="00447BD3">
      <w:pPr>
        <w:spacing w:line="240" w:lineRule="auto"/>
        <w:rPr>
          <w:bCs/>
          <w:iCs/>
          <w:sz w:val="24"/>
          <w:szCs w:val="24"/>
        </w:rPr>
      </w:pPr>
      <w:r w:rsidRPr="00194BB8">
        <w:rPr>
          <w:b/>
          <w:noProof/>
        </w:rPr>
        <w:lastRenderedPageBreak/>
        <mc:AlternateContent>
          <mc:Choice Requires="wps">
            <w:drawing>
              <wp:anchor distT="0" distB="0" distL="114300" distR="114300" simplePos="0" relativeHeight="251659264" behindDoc="0" locked="0" layoutInCell="1" allowOverlap="1" wp14:anchorId="4394F016" wp14:editId="77B477FA">
                <wp:simplePos x="0" y="0"/>
                <wp:positionH relativeFrom="column">
                  <wp:posOffset>7186295</wp:posOffset>
                </wp:positionH>
                <wp:positionV relativeFrom="paragraph">
                  <wp:posOffset>-547370</wp:posOffset>
                </wp:positionV>
                <wp:extent cx="1238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14:paraId="363A4A65" w14:textId="75580C3E" w:rsidR="00194BB8" w:rsidRDefault="00194BB8">
                            <w:r>
                              <w:t>Handout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4F016" id="_x0000_t202" coordsize="21600,21600" o:spt="202" path="m,l,21600r21600,l21600,xe">
                <v:stroke joinstyle="miter"/>
                <v:path gradientshapeok="t" o:connecttype="rect"/>
              </v:shapetype>
              <v:shape id="Text Box 2" o:spid="_x0000_s1026" type="#_x0000_t202" style="position:absolute;margin-left:565.85pt;margin-top:-43.1pt;width: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" stroked="f">
                <v:textbox style="mso-fit-shape-to-text:t">
                  <w:txbxContent>
                    <w:p w14:paraId="363A4A65" w14:textId="75580C3E" w:rsidR="00194BB8" w:rsidRDefault="00194BB8">
                      <w:r>
                        <w:t>Handout #10</w:t>
                      </w:r>
                    </w:p>
                  </w:txbxContent>
                </v:textbox>
              </v:shape>
            </w:pict>
          </mc:Fallback>
        </mc:AlternateContent>
      </w:r>
    </w:p>
    <w:tbl>
      <w:tblPr>
        <w:tblStyle w:val="TableGrid"/>
        <w:tblW w:w="14115" w:type="dxa"/>
        <w:tblInd w:w="108" w:type="dxa"/>
        <w:tblLook w:val="04A0" w:firstRow="1" w:lastRow="0" w:firstColumn="1" w:lastColumn="0" w:noHBand="0" w:noVBand="1"/>
      </w:tblPr>
      <w:tblGrid>
        <w:gridCol w:w="543"/>
        <w:gridCol w:w="2336"/>
        <w:gridCol w:w="3066"/>
        <w:gridCol w:w="2665"/>
        <w:gridCol w:w="2759"/>
        <w:gridCol w:w="2746"/>
      </w:tblGrid>
      <w:tr w:rsidR="00780CBE" w:rsidRPr="00251219" w14:paraId="08796B5B" w14:textId="77777777" w:rsidTr="00745E01">
        <w:trPr>
          <w:tblHeader/>
        </w:trPr>
        <w:tc>
          <w:tcPr>
            <w:tcW w:w="0" w:type="auto"/>
            <w:gridSpan w:val="6"/>
          </w:tcPr>
          <w:p w14:paraId="0C0A76BA" w14:textId="08B1A2D6" w:rsidR="00780CBE" w:rsidRPr="00251219" w:rsidRDefault="00780CBE" w:rsidP="006D79EC">
            <w:pPr>
              <w:spacing w:after="40"/>
              <w:jc w:val="center"/>
              <w:rPr>
                <w:b/>
                <w:sz w:val="20"/>
                <w:szCs w:val="20"/>
              </w:rPr>
            </w:pPr>
            <w:r w:rsidRPr="006D79EC">
              <w:rPr>
                <w:b/>
              </w:rPr>
              <w:t xml:space="preserve">Foundations present in the implementation of each essential component: </w:t>
            </w:r>
            <w:r w:rsidRPr="006D79EC">
              <w:rPr>
                <w:i/>
              </w:rPr>
              <w:t>Commitment to the success of all students and to improving the quality of instruction.</w:t>
            </w:r>
          </w:p>
        </w:tc>
      </w:tr>
      <w:tr w:rsidR="00780CBE" w:rsidRPr="00251219" w14:paraId="7CB0BB9A" w14:textId="77777777" w:rsidTr="00745E01">
        <w:trPr>
          <w:tblHeader/>
        </w:trPr>
        <w:tc>
          <w:tcPr>
            <w:tcW w:w="0" w:type="auto"/>
            <w:gridSpan w:val="6"/>
            <w:shd w:val="clear" w:color="auto" w:fill="DFD4BB"/>
          </w:tcPr>
          <w:p w14:paraId="351834DC" w14:textId="48AA6F87" w:rsidR="00780CBE" w:rsidRPr="006D79EC" w:rsidRDefault="005E60CE" w:rsidP="00E70015">
            <w:pPr>
              <w:spacing w:before="40" w:after="40"/>
              <w:jc w:val="center"/>
              <w:rPr>
                <w:b/>
                <w:sz w:val="24"/>
                <w:szCs w:val="24"/>
              </w:rPr>
            </w:pPr>
            <w:r>
              <w:rPr>
                <w:b/>
                <w:sz w:val="24"/>
                <w:szCs w:val="24"/>
              </w:rPr>
              <w:t xml:space="preserve">Understanding </w:t>
            </w:r>
            <w:r w:rsidR="006343C8">
              <w:rPr>
                <w:b/>
                <w:sz w:val="24"/>
                <w:szCs w:val="24"/>
              </w:rPr>
              <w:t xml:space="preserve">Essential Elements </w:t>
            </w:r>
          </w:p>
        </w:tc>
      </w:tr>
      <w:tr w:rsidR="00194BB8" w:rsidRPr="00251219" w14:paraId="75EC29F8" w14:textId="77777777" w:rsidTr="00A40A3F">
        <w:trPr>
          <w:tblHeader/>
        </w:trPr>
        <w:tc>
          <w:tcPr>
            <w:tcW w:w="2868" w:type="dxa"/>
            <w:gridSpan w:val="2"/>
            <w:vAlign w:val="center"/>
          </w:tcPr>
          <w:p w14:paraId="231A016D" w14:textId="77777777" w:rsidR="00780CBE" w:rsidRPr="006D79EC" w:rsidRDefault="00780CBE" w:rsidP="00A70867">
            <w:pPr>
              <w:jc w:val="center"/>
              <w:rPr>
                <w:b/>
                <w:sz w:val="24"/>
                <w:szCs w:val="24"/>
              </w:rPr>
            </w:pPr>
            <w:r w:rsidRPr="006D79EC">
              <w:rPr>
                <w:b/>
                <w:sz w:val="24"/>
                <w:szCs w:val="24"/>
              </w:rPr>
              <w:t>Essential Function</w:t>
            </w:r>
          </w:p>
        </w:tc>
        <w:tc>
          <w:tcPr>
            <w:tcW w:w="3050" w:type="dxa"/>
            <w:shd w:val="clear" w:color="auto" w:fill="auto"/>
            <w:vAlign w:val="center"/>
          </w:tcPr>
          <w:p w14:paraId="37B57D74" w14:textId="77777777" w:rsidR="00780CBE" w:rsidRPr="006D79EC" w:rsidRDefault="006D79EC" w:rsidP="00A70867">
            <w:pPr>
              <w:jc w:val="center"/>
              <w:rPr>
                <w:b/>
                <w:sz w:val="24"/>
                <w:szCs w:val="24"/>
              </w:rPr>
            </w:pPr>
            <w:r w:rsidRPr="006D79EC">
              <w:rPr>
                <w:b/>
                <w:sz w:val="24"/>
                <w:szCs w:val="24"/>
              </w:rPr>
              <w:t>Exemplary P</w:t>
            </w:r>
            <w:r w:rsidR="00780CBE" w:rsidRPr="006D79EC">
              <w:rPr>
                <w:b/>
                <w:sz w:val="24"/>
                <w:szCs w:val="24"/>
              </w:rPr>
              <w:t>roficiency</w:t>
            </w:r>
          </w:p>
          <w:p w14:paraId="489A9039" w14:textId="77777777" w:rsidR="00780CBE" w:rsidRPr="006D79EC" w:rsidRDefault="00780CBE" w:rsidP="00A70867">
            <w:pPr>
              <w:jc w:val="center"/>
              <w:rPr>
                <w:b/>
                <w:sz w:val="24"/>
                <w:szCs w:val="24"/>
              </w:rPr>
            </w:pPr>
            <w:r w:rsidRPr="006D79EC">
              <w:rPr>
                <w:b/>
                <w:sz w:val="24"/>
                <w:szCs w:val="24"/>
              </w:rPr>
              <w:t>Ideal Implementation</w:t>
            </w:r>
          </w:p>
          <w:p w14:paraId="6C9BC6AD" w14:textId="77777777" w:rsidR="00780CBE" w:rsidRPr="006D79EC" w:rsidRDefault="00780CBE" w:rsidP="00A70867">
            <w:pPr>
              <w:jc w:val="center"/>
              <w:rPr>
                <w:b/>
                <w:sz w:val="24"/>
                <w:szCs w:val="24"/>
              </w:rPr>
            </w:pPr>
          </w:p>
        </w:tc>
        <w:tc>
          <w:tcPr>
            <w:tcW w:w="2681" w:type="dxa"/>
            <w:shd w:val="clear" w:color="auto" w:fill="auto"/>
            <w:vAlign w:val="center"/>
          </w:tcPr>
          <w:p w14:paraId="2F21D13C" w14:textId="77777777" w:rsidR="00780CBE" w:rsidRPr="006D79EC" w:rsidRDefault="00780CBE" w:rsidP="00A70867">
            <w:pPr>
              <w:jc w:val="center"/>
              <w:rPr>
                <w:b/>
                <w:sz w:val="24"/>
                <w:szCs w:val="24"/>
              </w:rPr>
            </w:pPr>
            <w:r w:rsidRPr="006D79EC">
              <w:rPr>
                <w:b/>
                <w:sz w:val="24"/>
                <w:szCs w:val="24"/>
              </w:rPr>
              <w:t>Proficient</w:t>
            </w:r>
          </w:p>
        </w:tc>
        <w:tc>
          <w:tcPr>
            <w:tcW w:w="2757" w:type="dxa"/>
            <w:shd w:val="clear" w:color="auto" w:fill="auto"/>
            <w:vAlign w:val="center"/>
          </w:tcPr>
          <w:p w14:paraId="3F64C456" w14:textId="77777777" w:rsidR="00780CBE" w:rsidRPr="006D79EC" w:rsidRDefault="00780CBE" w:rsidP="006D79EC">
            <w:pPr>
              <w:spacing w:before="40"/>
              <w:jc w:val="center"/>
              <w:rPr>
                <w:b/>
                <w:sz w:val="24"/>
                <w:szCs w:val="24"/>
              </w:rPr>
            </w:pPr>
            <w:r w:rsidRPr="006D79EC">
              <w:rPr>
                <w:b/>
                <w:sz w:val="24"/>
                <w:szCs w:val="24"/>
              </w:rPr>
              <w:t xml:space="preserve">Close to Proficient  </w:t>
            </w:r>
          </w:p>
          <w:p w14:paraId="17CCF368" w14:textId="77777777" w:rsidR="00780CBE" w:rsidRPr="006D79EC" w:rsidRDefault="00780CBE" w:rsidP="006D79EC">
            <w:pPr>
              <w:spacing w:after="60"/>
              <w:jc w:val="center"/>
              <w:rPr>
                <w:i/>
                <w:sz w:val="20"/>
                <w:szCs w:val="20"/>
              </w:rPr>
            </w:pPr>
            <w:r w:rsidRPr="006D79EC">
              <w:rPr>
                <w:i/>
                <w:sz w:val="20"/>
                <w:szCs w:val="20"/>
              </w:rPr>
              <w:t>(Skill is emerging, but not yet to ideal proficiency.  Coaching is recommended.)</w:t>
            </w:r>
          </w:p>
        </w:tc>
        <w:tc>
          <w:tcPr>
            <w:tcW w:w="2759" w:type="dxa"/>
            <w:shd w:val="clear" w:color="auto" w:fill="auto"/>
            <w:vAlign w:val="center"/>
          </w:tcPr>
          <w:p w14:paraId="2CA2A04B" w14:textId="77777777" w:rsidR="00780CBE" w:rsidRPr="006D79EC" w:rsidRDefault="00780CBE" w:rsidP="00267138">
            <w:pPr>
              <w:spacing w:before="40" w:after="60"/>
              <w:jc w:val="center"/>
              <w:rPr>
                <w:b/>
              </w:rPr>
            </w:pPr>
            <w:r w:rsidRPr="006D79EC">
              <w:rPr>
                <w:b/>
                <w:sz w:val="24"/>
                <w:szCs w:val="24"/>
              </w:rPr>
              <w:t>Far from Proficient</w:t>
            </w:r>
            <w:r w:rsidRPr="006D79EC">
              <w:rPr>
                <w:i/>
              </w:rPr>
              <w:t xml:space="preserve"> </w:t>
            </w:r>
            <w:r w:rsidRPr="006D79EC">
              <w:rPr>
                <w:i/>
                <w:sz w:val="20"/>
                <w:szCs w:val="20"/>
              </w:rPr>
              <w:t>(Follow-up professional development and coaching is critical.)</w:t>
            </w:r>
          </w:p>
        </w:tc>
      </w:tr>
      <w:tr w:rsidR="00194BB8" w:rsidRPr="00251219" w14:paraId="59563A76" w14:textId="77777777" w:rsidTr="00A40A3F">
        <w:trPr>
          <w:trHeight w:val="1872"/>
        </w:trPr>
        <w:tc>
          <w:tcPr>
            <w:tcW w:w="539" w:type="dxa"/>
            <w:vAlign w:val="center"/>
          </w:tcPr>
          <w:p w14:paraId="26ADD86E" w14:textId="5C0D9622" w:rsidR="007E03E9" w:rsidRDefault="007E03E9" w:rsidP="00A70867">
            <w:pPr>
              <w:jc w:val="center"/>
              <w:rPr>
                <w:rFonts w:cs="Arial"/>
                <w:sz w:val="24"/>
                <w:szCs w:val="24"/>
              </w:rPr>
            </w:pPr>
            <w:r>
              <w:rPr>
                <w:rFonts w:cs="Arial"/>
                <w:sz w:val="24"/>
                <w:szCs w:val="24"/>
              </w:rPr>
              <w:t>1</w:t>
            </w:r>
          </w:p>
        </w:tc>
        <w:tc>
          <w:tcPr>
            <w:tcW w:w="2329" w:type="dxa"/>
            <w:vAlign w:val="center"/>
          </w:tcPr>
          <w:p w14:paraId="7654B00D" w14:textId="1019615F" w:rsidR="007E03E9" w:rsidRPr="005E60CE" w:rsidRDefault="007E03E9" w:rsidP="005E60CE">
            <w:pPr>
              <w:rPr>
                <w:rFonts w:cs="Arial"/>
                <w:sz w:val="20"/>
                <w:szCs w:val="20"/>
              </w:rPr>
            </w:pPr>
            <w:r>
              <w:rPr>
                <w:rFonts w:cs="Arial"/>
                <w:sz w:val="20"/>
                <w:szCs w:val="20"/>
              </w:rPr>
              <w:t>Examine data to determine where student is functioning relative to the grade level Essential Element.</w:t>
            </w:r>
          </w:p>
        </w:tc>
        <w:tc>
          <w:tcPr>
            <w:tcW w:w="5731" w:type="dxa"/>
            <w:gridSpan w:val="2"/>
            <w:vAlign w:val="center"/>
          </w:tcPr>
          <w:p w14:paraId="284F1C25" w14:textId="45D09580" w:rsidR="007E03E9" w:rsidRPr="008A44CF" w:rsidRDefault="008A44CF" w:rsidP="008A44CF">
            <w:pPr>
              <w:rPr>
                <w:sz w:val="20"/>
                <w:szCs w:val="20"/>
              </w:rPr>
            </w:pPr>
            <w:r w:rsidRPr="008A44CF">
              <w:rPr>
                <w:sz w:val="20"/>
                <w:szCs w:val="20"/>
              </w:rPr>
              <w:t>Uses multiple sources of data</w:t>
            </w:r>
            <w:r>
              <w:rPr>
                <w:sz w:val="20"/>
                <w:szCs w:val="20"/>
              </w:rPr>
              <w:t>…</w:t>
            </w:r>
          </w:p>
          <w:p w14:paraId="06B223E6" w14:textId="77777777" w:rsidR="008A44CF" w:rsidRDefault="008A44CF" w:rsidP="008A44CF">
            <w:pPr>
              <w:pStyle w:val="ListParagraph"/>
              <w:numPr>
                <w:ilvl w:val="0"/>
                <w:numId w:val="22"/>
              </w:numPr>
              <w:ind w:left="354" w:hanging="270"/>
              <w:rPr>
                <w:sz w:val="20"/>
                <w:szCs w:val="20"/>
              </w:rPr>
            </w:pPr>
            <w:r w:rsidRPr="008A44CF">
              <w:rPr>
                <w:sz w:val="20"/>
                <w:szCs w:val="20"/>
              </w:rPr>
              <w:t>R</w:t>
            </w:r>
            <w:r>
              <w:rPr>
                <w:sz w:val="20"/>
                <w:szCs w:val="20"/>
              </w:rPr>
              <w:t>eview of</w:t>
            </w:r>
            <w:r w:rsidRPr="008A44CF">
              <w:rPr>
                <w:sz w:val="20"/>
                <w:szCs w:val="20"/>
              </w:rPr>
              <w:t xml:space="preserve"> previous IEP goals</w:t>
            </w:r>
          </w:p>
          <w:p w14:paraId="55B1D4E6" w14:textId="4CD92896" w:rsidR="00AA5D77" w:rsidRDefault="00AA5D77" w:rsidP="00AA5D77">
            <w:pPr>
              <w:pStyle w:val="ListParagraph"/>
              <w:numPr>
                <w:ilvl w:val="0"/>
                <w:numId w:val="22"/>
              </w:numPr>
              <w:ind w:left="354" w:hanging="270"/>
              <w:rPr>
                <w:sz w:val="20"/>
                <w:szCs w:val="20"/>
              </w:rPr>
            </w:pPr>
            <w:r>
              <w:rPr>
                <w:sz w:val="20"/>
                <w:szCs w:val="20"/>
              </w:rPr>
              <w:t>Use progress monitoring results and other sources of data</w:t>
            </w:r>
          </w:p>
          <w:p w14:paraId="50CF6793" w14:textId="23D2CC0C" w:rsidR="00AA5D77" w:rsidRDefault="00AA5D77" w:rsidP="00AA5D77">
            <w:pPr>
              <w:pStyle w:val="ListParagraph"/>
              <w:numPr>
                <w:ilvl w:val="0"/>
                <w:numId w:val="22"/>
              </w:numPr>
              <w:ind w:left="354" w:hanging="270"/>
              <w:rPr>
                <w:sz w:val="20"/>
                <w:szCs w:val="20"/>
              </w:rPr>
            </w:pPr>
            <w:r>
              <w:rPr>
                <w:sz w:val="20"/>
                <w:szCs w:val="20"/>
              </w:rPr>
              <w:t>Use the student’s grade of record to choose Essential Elements</w:t>
            </w:r>
          </w:p>
          <w:p w14:paraId="58605ADF" w14:textId="14E281DF" w:rsidR="008A44CF" w:rsidRDefault="00AA5D77" w:rsidP="008A44CF">
            <w:pPr>
              <w:pStyle w:val="ListParagraph"/>
              <w:numPr>
                <w:ilvl w:val="0"/>
                <w:numId w:val="22"/>
              </w:numPr>
              <w:ind w:left="354" w:hanging="270"/>
              <w:rPr>
                <w:sz w:val="20"/>
                <w:szCs w:val="20"/>
              </w:rPr>
            </w:pPr>
            <w:r>
              <w:rPr>
                <w:sz w:val="20"/>
                <w:szCs w:val="20"/>
              </w:rPr>
              <w:t>Collaborate with grade level team to determine</w:t>
            </w:r>
            <w:r w:rsidR="008A44CF">
              <w:rPr>
                <w:sz w:val="20"/>
                <w:szCs w:val="20"/>
              </w:rPr>
              <w:t xml:space="preserve"> Essential Elements in relation to the priorities of grade level or course</w:t>
            </w:r>
          </w:p>
          <w:p w14:paraId="1559C149" w14:textId="46C2CF10" w:rsidR="008A44CF" w:rsidRPr="00AA5D77" w:rsidRDefault="00AA5D77" w:rsidP="00AA5D77">
            <w:pPr>
              <w:pStyle w:val="ListParagraph"/>
              <w:numPr>
                <w:ilvl w:val="0"/>
                <w:numId w:val="22"/>
              </w:numPr>
              <w:ind w:left="354" w:hanging="270"/>
              <w:rPr>
                <w:sz w:val="20"/>
                <w:szCs w:val="20"/>
              </w:rPr>
            </w:pPr>
            <w:r>
              <w:rPr>
                <w:sz w:val="20"/>
                <w:szCs w:val="20"/>
              </w:rPr>
              <w:t>Use</w:t>
            </w:r>
            <w:r w:rsidR="00CE298E">
              <w:rPr>
                <w:sz w:val="20"/>
                <w:szCs w:val="20"/>
              </w:rPr>
              <w:t xml:space="preserve"> DLM</w:t>
            </w:r>
            <w:r>
              <w:rPr>
                <w:sz w:val="20"/>
                <w:szCs w:val="20"/>
              </w:rPr>
              <w:t xml:space="preserve"> </w:t>
            </w:r>
            <w:r w:rsidR="008A44CF">
              <w:rPr>
                <w:sz w:val="20"/>
                <w:szCs w:val="20"/>
              </w:rPr>
              <w:t>linkage levels to determine to where student is functioning</w:t>
            </w:r>
          </w:p>
          <w:p w14:paraId="29F2D67D" w14:textId="7BDFC4EF" w:rsidR="008A44CF" w:rsidRPr="008A44CF" w:rsidRDefault="008A44CF" w:rsidP="008A44CF">
            <w:pPr>
              <w:ind w:left="360"/>
              <w:rPr>
                <w:sz w:val="20"/>
                <w:szCs w:val="20"/>
              </w:rPr>
            </w:pPr>
          </w:p>
        </w:tc>
        <w:tc>
          <w:tcPr>
            <w:tcW w:w="2757" w:type="dxa"/>
            <w:shd w:val="clear" w:color="auto" w:fill="auto"/>
            <w:vAlign w:val="center"/>
          </w:tcPr>
          <w:p w14:paraId="641B4550" w14:textId="41F6EA45" w:rsidR="007E03E9" w:rsidRDefault="008A44CF" w:rsidP="00AA5D77">
            <w:pPr>
              <w:spacing w:before="40" w:after="40"/>
              <w:rPr>
                <w:sz w:val="20"/>
                <w:szCs w:val="24"/>
              </w:rPr>
            </w:pPr>
            <w:r>
              <w:rPr>
                <w:sz w:val="20"/>
                <w:szCs w:val="24"/>
              </w:rPr>
              <w:t>At least 3 of the components.</w:t>
            </w:r>
          </w:p>
        </w:tc>
        <w:tc>
          <w:tcPr>
            <w:tcW w:w="2759" w:type="dxa"/>
            <w:shd w:val="clear" w:color="auto" w:fill="auto"/>
            <w:vAlign w:val="center"/>
          </w:tcPr>
          <w:p w14:paraId="053EE7FB" w14:textId="378F73C9" w:rsidR="007E03E9" w:rsidRDefault="008A44CF" w:rsidP="008A44CF">
            <w:pPr>
              <w:rPr>
                <w:sz w:val="20"/>
                <w:szCs w:val="24"/>
              </w:rPr>
            </w:pPr>
            <w:r>
              <w:rPr>
                <w:sz w:val="20"/>
                <w:szCs w:val="24"/>
              </w:rPr>
              <w:t>Fewer than 3 of the components are included.</w:t>
            </w:r>
          </w:p>
        </w:tc>
      </w:tr>
      <w:tr w:rsidR="00194BB8" w:rsidRPr="00251219" w14:paraId="7C39CB55" w14:textId="77777777" w:rsidTr="00A40A3F">
        <w:trPr>
          <w:trHeight w:val="1872"/>
        </w:trPr>
        <w:tc>
          <w:tcPr>
            <w:tcW w:w="539" w:type="dxa"/>
            <w:vAlign w:val="center"/>
          </w:tcPr>
          <w:p w14:paraId="00130F4D" w14:textId="4F8B547B" w:rsidR="004C4754" w:rsidRPr="00B16CD3" w:rsidRDefault="00AA5D77" w:rsidP="00A70867">
            <w:pPr>
              <w:jc w:val="center"/>
              <w:rPr>
                <w:rFonts w:cs="Arial"/>
                <w:sz w:val="24"/>
                <w:szCs w:val="24"/>
              </w:rPr>
            </w:pPr>
            <w:r>
              <w:rPr>
                <w:rFonts w:cs="Arial"/>
                <w:sz w:val="24"/>
                <w:szCs w:val="24"/>
              </w:rPr>
              <w:t>2</w:t>
            </w:r>
          </w:p>
        </w:tc>
        <w:tc>
          <w:tcPr>
            <w:tcW w:w="2329" w:type="dxa"/>
            <w:vAlign w:val="center"/>
          </w:tcPr>
          <w:p w14:paraId="16C3C1B6" w14:textId="77777777" w:rsidR="005E60CE" w:rsidRPr="005E60CE" w:rsidRDefault="005E60CE" w:rsidP="005E60CE">
            <w:pPr>
              <w:rPr>
                <w:rFonts w:cs="Arial"/>
                <w:sz w:val="20"/>
                <w:szCs w:val="20"/>
              </w:rPr>
            </w:pPr>
            <w:r w:rsidRPr="005E60CE">
              <w:rPr>
                <w:rFonts w:cs="Arial"/>
                <w:sz w:val="20"/>
                <w:szCs w:val="20"/>
              </w:rPr>
              <w:t>Develop present level of academic achievement and functional performance reflecting strengths and needs with consideration of the Essential Elements.</w:t>
            </w:r>
          </w:p>
          <w:p w14:paraId="763EA85A" w14:textId="7498D5D3" w:rsidR="004C4754" w:rsidRPr="009D5DED" w:rsidRDefault="004C4754" w:rsidP="00465309">
            <w:pPr>
              <w:rPr>
                <w:rFonts w:cs="Arial"/>
                <w:sz w:val="20"/>
                <w:szCs w:val="20"/>
              </w:rPr>
            </w:pPr>
          </w:p>
        </w:tc>
        <w:tc>
          <w:tcPr>
            <w:tcW w:w="5731" w:type="dxa"/>
            <w:gridSpan w:val="2"/>
            <w:vAlign w:val="center"/>
          </w:tcPr>
          <w:p w14:paraId="5CCD8B6B" w14:textId="77997E17" w:rsidR="004C4754" w:rsidRDefault="00CE298E" w:rsidP="000E7FC3">
            <w:pPr>
              <w:rPr>
                <w:sz w:val="20"/>
                <w:szCs w:val="20"/>
              </w:rPr>
            </w:pPr>
            <w:r>
              <w:rPr>
                <w:sz w:val="20"/>
                <w:szCs w:val="20"/>
              </w:rPr>
              <w:t>PLAAFP includes…</w:t>
            </w:r>
          </w:p>
          <w:p w14:paraId="546A5FC3" w14:textId="77777777" w:rsidR="004C4754" w:rsidRDefault="004C4754" w:rsidP="007E6E54">
            <w:pPr>
              <w:numPr>
                <w:ilvl w:val="0"/>
                <w:numId w:val="15"/>
              </w:numPr>
              <w:tabs>
                <w:tab w:val="num" w:pos="504"/>
              </w:tabs>
              <w:ind w:left="144"/>
              <w:rPr>
                <w:sz w:val="20"/>
                <w:szCs w:val="20"/>
              </w:rPr>
            </w:pPr>
            <w:r>
              <w:rPr>
                <w:sz w:val="20"/>
                <w:szCs w:val="20"/>
              </w:rPr>
              <w:t>Baseline academic achievement information for the student.</w:t>
            </w:r>
          </w:p>
          <w:p w14:paraId="0FE89828" w14:textId="77777777" w:rsidR="004C4754" w:rsidRDefault="004C4754" w:rsidP="007E6E54">
            <w:pPr>
              <w:numPr>
                <w:ilvl w:val="0"/>
                <w:numId w:val="15"/>
              </w:numPr>
              <w:tabs>
                <w:tab w:val="num" w:pos="504"/>
              </w:tabs>
              <w:ind w:left="144"/>
              <w:rPr>
                <w:sz w:val="20"/>
                <w:szCs w:val="20"/>
              </w:rPr>
            </w:pPr>
            <w:r>
              <w:rPr>
                <w:sz w:val="20"/>
                <w:szCs w:val="20"/>
              </w:rPr>
              <w:t>Student’s current functional performance.</w:t>
            </w:r>
          </w:p>
          <w:p w14:paraId="6921E19D" w14:textId="77777777" w:rsidR="004C4754" w:rsidRDefault="004C4754" w:rsidP="007E6E54">
            <w:pPr>
              <w:numPr>
                <w:ilvl w:val="0"/>
                <w:numId w:val="15"/>
              </w:numPr>
              <w:tabs>
                <w:tab w:val="num" w:pos="504"/>
              </w:tabs>
              <w:ind w:left="144"/>
              <w:rPr>
                <w:sz w:val="20"/>
                <w:szCs w:val="20"/>
              </w:rPr>
            </w:pPr>
            <w:r>
              <w:rPr>
                <w:sz w:val="20"/>
                <w:szCs w:val="20"/>
              </w:rPr>
              <w:t xml:space="preserve">How the student’s disability affects involvement/progress in the general education curriculum. </w:t>
            </w:r>
          </w:p>
          <w:p w14:paraId="53D92EE2" w14:textId="77777777" w:rsidR="004C4754" w:rsidRPr="004C4754" w:rsidRDefault="004C4754" w:rsidP="004C4754">
            <w:pPr>
              <w:numPr>
                <w:ilvl w:val="0"/>
                <w:numId w:val="15"/>
              </w:numPr>
              <w:tabs>
                <w:tab w:val="num" w:pos="504"/>
              </w:tabs>
              <w:ind w:left="144"/>
              <w:rPr>
                <w:sz w:val="20"/>
                <w:szCs w:val="20"/>
              </w:rPr>
            </w:pPr>
            <w:r>
              <w:rPr>
                <w:sz w:val="20"/>
                <w:szCs w:val="20"/>
              </w:rPr>
              <w:t>The unique educational needs of the student related to</w:t>
            </w:r>
            <w:r>
              <w:rPr>
                <w:rFonts w:cs="Arial"/>
                <w:sz w:val="20"/>
                <w:szCs w:val="20"/>
              </w:rPr>
              <w:t xml:space="preserve"> access and progress in the general education curriculum.</w:t>
            </w:r>
          </w:p>
          <w:p w14:paraId="4DE86EB0" w14:textId="77777777" w:rsidR="004C4754" w:rsidRPr="004C4754" w:rsidRDefault="004C4754" w:rsidP="004C4754">
            <w:pPr>
              <w:numPr>
                <w:ilvl w:val="0"/>
                <w:numId w:val="15"/>
              </w:numPr>
              <w:tabs>
                <w:tab w:val="num" w:pos="504"/>
              </w:tabs>
              <w:ind w:left="144"/>
              <w:rPr>
                <w:sz w:val="20"/>
                <w:szCs w:val="20"/>
              </w:rPr>
            </w:pPr>
            <w:r w:rsidRPr="004C4754">
              <w:rPr>
                <w:sz w:val="20"/>
                <w:szCs w:val="20"/>
              </w:rPr>
              <w:t>How the student’s social and behavioral development affects their academic progress.</w:t>
            </w:r>
          </w:p>
        </w:tc>
        <w:tc>
          <w:tcPr>
            <w:tcW w:w="2757" w:type="dxa"/>
            <w:shd w:val="clear" w:color="auto" w:fill="auto"/>
            <w:vAlign w:val="center"/>
          </w:tcPr>
          <w:p w14:paraId="68EB46ED" w14:textId="77777777" w:rsidR="004C4754" w:rsidRPr="004C4754" w:rsidRDefault="004C4754" w:rsidP="00B16CD3">
            <w:pPr>
              <w:spacing w:before="40" w:after="40"/>
              <w:rPr>
                <w:sz w:val="20"/>
                <w:szCs w:val="24"/>
              </w:rPr>
            </w:pPr>
            <w:r>
              <w:rPr>
                <w:sz w:val="20"/>
                <w:szCs w:val="24"/>
              </w:rPr>
              <w:t>At least 3 of the PLAAFP components are included.</w:t>
            </w:r>
          </w:p>
        </w:tc>
        <w:tc>
          <w:tcPr>
            <w:tcW w:w="2759" w:type="dxa"/>
            <w:shd w:val="clear" w:color="auto" w:fill="auto"/>
            <w:vAlign w:val="center"/>
          </w:tcPr>
          <w:p w14:paraId="250CEF01" w14:textId="77777777" w:rsidR="004C4754" w:rsidRPr="004C4754" w:rsidRDefault="004C4754" w:rsidP="00465309">
            <w:pPr>
              <w:rPr>
                <w:sz w:val="20"/>
                <w:szCs w:val="24"/>
              </w:rPr>
            </w:pPr>
            <w:r>
              <w:rPr>
                <w:sz w:val="20"/>
                <w:szCs w:val="24"/>
              </w:rPr>
              <w:t>Fewer than 3 of the PLAAFP components are included.</w:t>
            </w:r>
          </w:p>
        </w:tc>
      </w:tr>
      <w:tr w:rsidR="00194BB8" w:rsidRPr="00251219" w14:paraId="40732807" w14:textId="77777777" w:rsidTr="00A40A3F">
        <w:trPr>
          <w:trHeight w:val="692"/>
        </w:trPr>
        <w:tc>
          <w:tcPr>
            <w:tcW w:w="539" w:type="dxa"/>
            <w:vAlign w:val="center"/>
          </w:tcPr>
          <w:p w14:paraId="503A7124" w14:textId="173546C0" w:rsidR="00B749B8" w:rsidRPr="00B16CD3" w:rsidRDefault="00AA5D77" w:rsidP="00A70867">
            <w:pPr>
              <w:jc w:val="center"/>
              <w:rPr>
                <w:rFonts w:cs="Arial"/>
                <w:sz w:val="24"/>
                <w:szCs w:val="24"/>
              </w:rPr>
            </w:pPr>
            <w:r>
              <w:rPr>
                <w:rFonts w:cs="Arial"/>
                <w:sz w:val="24"/>
                <w:szCs w:val="24"/>
              </w:rPr>
              <w:t>3</w:t>
            </w:r>
          </w:p>
        </w:tc>
        <w:tc>
          <w:tcPr>
            <w:tcW w:w="2329" w:type="dxa"/>
            <w:vAlign w:val="center"/>
          </w:tcPr>
          <w:p w14:paraId="6D135641" w14:textId="77777777" w:rsidR="00B749B8" w:rsidRPr="009D5DED" w:rsidRDefault="00B749B8" w:rsidP="00465309">
            <w:pPr>
              <w:rPr>
                <w:rFonts w:cs="Arial"/>
                <w:sz w:val="20"/>
                <w:szCs w:val="20"/>
              </w:rPr>
            </w:pPr>
            <w:r>
              <w:rPr>
                <w:rFonts w:cs="Arial"/>
                <w:sz w:val="20"/>
                <w:szCs w:val="20"/>
              </w:rPr>
              <w:t>Educator</w:t>
            </w:r>
            <w:r w:rsidRPr="009D5DED">
              <w:rPr>
                <w:rFonts w:cs="Arial"/>
                <w:sz w:val="20"/>
                <w:szCs w:val="20"/>
              </w:rPr>
              <w:t xml:space="preserve"> create</w:t>
            </w:r>
            <w:r>
              <w:rPr>
                <w:rFonts w:cs="Arial"/>
                <w:sz w:val="20"/>
                <w:szCs w:val="20"/>
              </w:rPr>
              <w:t>s</w:t>
            </w:r>
            <w:r w:rsidRPr="009D5DED">
              <w:rPr>
                <w:rFonts w:cs="Arial"/>
                <w:sz w:val="20"/>
                <w:szCs w:val="20"/>
              </w:rPr>
              <w:t xml:space="preserve"> SMART IEP goals based up</w:t>
            </w:r>
            <w:r>
              <w:rPr>
                <w:rFonts w:cs="Arial"/>
                <w:sz w:val="20"/>
                <w:szCs w:val="20"/>
              </w:rPr>
              <w:t>on</w:t>
            </w:r>
            <w:r w:rsidRPr="009D5DED">
              <w:rPr>
                <w:rFonts w:cs="Arial"/>
                <w:sz w:val="20"/>
                <w:szCs w:val="20"/>
              </w:rPr>
              <w:t xml:space="preserve"> the student’s PLAAFP.</w:t>
            </w:r>
          </w:p>
        </w:tc>
        <w:tc>
          <w:tcPr>
            <w:tcW w:w="5731" w:type="dxa"/>
            <w:gridSpan w:val="2"/>
            <w:vAlign w:val="center"/>
          </w:tcPr>
          <w:p w14:paraId="19E0F633" w14:textId="66A4BFE6" w:rsidR="00B749B8" w:rsidRPr="004C4754" w:rsidRDefault="005E60CE" w:rsidP="004645DB">
            <w:pPr>
              <w:rPr>
                <w:rFonts w:eastAsiaTheme="minorHAnsi" w:cs="Helvetica"/>
                <w:sz w:val="20"/>
                <w:szCs w:val="20"/>
              </w:rPr>
            </w:pPr>
            <w:r>
              <w:rPr>
                <w:rFonts w:cs="Helvetica"/>
                <w:sz w:val="20"/>
                <w:szCs w:val="20"/>
              </w:rPr>
              <w:t>SMART</w:t>
            </w:r>
            <w:r w:rsidR="00B749B8" w:rsidRPr="004C4754">
              <w:rPr>
                <w:rFonts w:cs="Helvetica"/>
                <w:sz w:val="20"/>
                <w:szCs w:val="20"/>
              </w:rPr>
              <w:t xml:space="preserve"> IEP goals…</w:t>
            </w:r>
          </w:p>
          <w:p w14:paraId="6651BC4C" w14:textId="153ED015" w:rsidR="00B749B8" w:rsidRPr="009D5DED" w:rsidRDefault="009908B3" w:rsidP="004645DB">
            <w:pPr>
              <w:numPr>
                <w:ilvl w:val="0"/>
                <w:numId w:val="15"/>
              </w:numPr>
              <w:tabs>
                <w:tab w:val="num" w:pos="504"/>
              </w:tabs>
              <w:ind w:left="144"/>
              <w:rPr>
                <w:sz w:val="20"/>
                <w:szCs w:val="20"/>
              </w:rPr>
            </w:pPr>
            <w:r>
              <w:rPr>
                <w:sz w:val="20"/>
                <w:szCs w:val="20"/>
              </w:rPr>
              <w:t>Are S</w:t>
            </w:r>
            <w:r w:rsidR="00B749B8" w:rsidRPr="009D5DED">
              <w:rPr>
                <w:sz w:val="20"/>
                <w:szCs w:val="20"/>
              </w:rPr>
              <w:t xml:space="preserve">pecific </w:t>
            </w:r>
            <w:r w:rsidR="00B749B8">
              <w:rPr>
                <w:sz w:val="20"/>
                <w:szCs w:val="20"/>
              </w:rPr>
              <w:t>and based upon the students PLAAFP.</w:t>
            </w:r>
          </w:p>
          <w:p w14:paraId="68B18B2B" w14:textId="37AC3C4A" w:rsidR="00B749B8" w:rsidRPr="009D5DED" w:rsidRDefault="009908B3" w:rsidP="004645DB">
            <w:pPr>
              <w:numPr>
                <w:ilvl w:val="0"/>
                <w:numId w:val="15"/>
              </w:numPr>
              <w:tabs>
                <w:tab w:val="num" w:pos="504"/>
              </w:tabs>
              <w:ind w:left="144"/>
              <w:rPr>
                <w:sz w:val="20"/>
                <w:szCs w:val="20"/>
              </w:rPr>
            </w:pPr>
            <w:r>
              <w:rPr>
                <w:sz w:val="20"/>
                <w:szCs w:val="20"/>
              </w:rPr>
              <w:t>Are M</w:t>
            </w:r>
            <w:r w:rsidR="00B749B8" w:rsidRPr="009D5DED">
              <w:rPr>
                <w:sz w:val="20"/>
                <w:szCs w:val="20"/>
              </w:rPr>
              <w:t>easureable</w:t>
            </w:r>
            <w:r w:rsidR="00B749B8">
              <w:rPr>
                <w:sz w:val="20"/>
                <w:szCs w:val="20"/>
              </w:rPr>
              <w:t xml:space="preserve"> with progress objectively determined at frequent data points.</w:t>
            </w:r>
          </w:p>
          <w:p w14:paraId="7E34EF79" w14:textId="1FB79CC6" w:rsidR="00B749B8" w:rsidRDefault="00B749B8" w:rsidP="004645DB">
            <w:pPr>
              <w:numPr>
                <w:ilvl w:val="0"/>
                <w:numId w:val="15"/>
              </w:numPr>
              <w:tabs>
                <w:tab w:val="num" w:pos="504"/>
              </w:tabs>
              <w:ind w:left="144"/>
              <w:rPr>
                <w:sz w:val="20"/>
                <w:szCs w:val="20"/>
              </w:rPr>
            </w:pPr>
            <w:r>
              <w:rPr>
                <w:sz w:val="20"/>
                <w:szCs w:val="20"/>
              </w:rPr>
              <w:t xml:space="preserve">Are </w:t>
            </w:r>
            <w:r w:rsidR="009908B3">
              <w:rPr>
                <w:sz w:val="20"/>
                <w:szCs w:val="20"/>
              </w:rPr>
              <w:t>Attainable</w:t>
            </w:r>
            <w:r>
              <w:rPr>
                <w:sz w:val="20"/>
                <w:szCs w:val="20"/>
              </w:rPr>
              <w:t xml:space="preserve"> and related to the most critical student needs.</w:t>
            </w:r>
          </w:p>
          <w:p w14:paraId="4FD3E2A7" w14:textId="64C7519E" w:rsidR="00B749B8" w:rsidRDefault="009908B3" w:rsidP="00B749B8">
            <w:pPr>
              <w:numPr>
                <w:ilvl w:val="0"/>
                <w:numId w:val="15"/>
              </w:numPr>
              <w:tabs>
                <w:tab w:val="num" w:pos="504"/>
              </w:tabs>
              <w:ind w:left="144"/>
              <w:rPr>
                <w:sz w:val="20"/>
                <w:szCs w:val="20"/>
              </w:rPr>
            </w:pPr>
            <w:r>
              <w:rPr>
                <w:sz w:val="20"/>
                <w:szCs w:val="20"/>
              </w:rPr>
              <w:t xml:space="preserve">Are Results </w:t>
            </w:r>
            <w:r w:rsidR="00B749B8">
              <w:rPr>
                <w:sz w:val="20"/>
                <w:szCs w:val="20"/>
              </w:rPr>
              <w:t>oriented and developed with a specific connection to a standard’s outcome.</w:t>
            </w:r>
          </w:p>
          <w:p w14:paraId="0EAAF783" w14:textId="19C1D90F" w:rsidR="00B749B8" w:rsidRPr="00B749B8" w:rsidRDefault="00B749B8" w:rsidP="009908B3">
            <w:pPr>
              <w:numPr>
                <w:ilvl w:val="0"/>
                <w:numId w:val="15"/>
              </w:numPr>
              <w:tabs>
                <w:tab w:val="num" w:pos="504"/>
              </w:tabs>
              <w:ind w:left="144"/>
              <w:rPr>
                <w:sz w:val="20"/>
                <w:szCs w:val="20"/>
              </w:rPr>
            </w:pPr>
            <w:r w:rsidRPr="00B749B8">
              <w:rPr>
                <w:sz w:val="20"/>
                <w:szCs w:val="20"/>
              </w:rPr>
              <w:t xml:space="preserve">Are </w:t>
            </w:r>
            <w:r w:rsidR="009908B3">
              <w:rPr>
                <w:sz w:val="20"/>
                <w:szCs w:val="20"/>
              </w:rPr>
              <w:t>T</w:t>
            </w:r>
            <w:r w:rsidRPr="00B749B8">
              <w:rPr>
                <w:sz w:val="20"/>
                <w:szCs w:val="20"/>
              </w:rPr>
              <w:t>ime-bound with clearly defi</w:t>
            </w:r>
            <w:r w:rsidR="007E03E9">
              <w:rPr>
                <w:sz w:val="20"/>
                <w:szCs w:val="20"/>
              </w:rPr>
              <w:t>ned beginning and ending dates</w:t>
            </w:r>
          </w:p>
        </w:tc>
        <w:tc>
          <w:tcPr>
            <w:tcW w:w="2757" w:type="dxa"/>
            <w:shd w:val="clear" w:color="auto" w:fill="auto"/>
            <w:vAlign w:val="center"/>
          </w:tcPr>
          <w:p w14:paraId="4FE62412" w14:textId="77777777" w:rsidR="00B749B8" w:rsidRPr="004C4754" w:rsidRDefault="00B749B8" w:rsidP="00B749B8">
            <w:pPr>
              <w:rPr>
                <w:sz w:val="20"/>
                <w:szCs w:val="24"/>
              </w:rPr>
            </w:pPr>
            <w:r w:rsidRPr="004C4754">
              <w:rPr>
                <w:sz w:val="20"/>
                <w:szCs w:val="24"/>
              </w:rPr>
              <w:t>At least 3 of the SMART goal components are included.</w:t>
            </w:r>
          </w:p>
        </w:tc>
        <w:tc>
          <w:tcPr>
            <w:tcW w:w="2759" w:type="dxa"/>
            <w:shd w:val="clear" w:color="auto" w:fill="auto"/>
            <w:vAlign w:val="center"/>
          </w:tcPr>
          <w:p w14:paraId="4B02AB51" w14:textId="77777777" w:rsidR="00B749B8" w:rsidRPr="004C4754" w:rsidRDefault="00B749B8" w:rsidP="00465309">
            <w:pPr>
              <w:rPr>
                <w:sz w:val="20"/>
                <w:szCs w:val="24"/>
              </w:rPr>
            </w:pPr>
            <w:r w:rsidRPr="004C4754">
              <w:rPr>
                <w:sz w:val="20"/>
                <w:szCs w:val="24"/>
              </w:rPr>
              <w:t>Fewer than 3 of the SMART goal components are included.</w:t>
            </w:r>
          </w:p>
        </w:tc>
      </w:tr>
      <w:tr w:rsidR="00194BB8" w:rsidRPr="00251219" w14:paraId="38BAB49A" w14:textId="77777777" w:rsidTr="00A40A3F">
        <w:trPr>
          <w:trHeight w:val="2744"/>
        </w:trPr>
        <w:tc>
          <w:tcPr>
            <w:tcW w:w="539" w:type="dxa"/>
            <w:vAlign w:val="center"/>
          </w:tcPr>
          <w:p w14:paraId="548EC142" w14:textId="5E188A51" w:rsidR="00B40F0E" w:rsidRPr="00B16CD3" w:rsidRDefault="00A40A3F" w:rsidP="00A70867">
            <w:pPr>
              <w:jc w:val="center"/>
              <w:rPr>
                <w:rFonts w:cs="Arial"/>
                <w:sz w:val="24"/>
                <w:szCs w:val="24"/>
              </w:rPr>
            </w:pPr>
            <w:r>
              <w:rPr>
                <w:rFonts w:cs="Arial"/>
                <w:sz w:val="24"/>
                <w:szCs w:val="24"/>
              </w:rPr>
              <w:lastRenderedPageBreak/>
              <w:t>4</w:t>
            </w:r>
          </w:p>
        </w:tc>
        <w:tc>
          <w:tcPr>
            <w:tcW w:w="2329" w:type="dxa"/>
            <w:vAlign w:val="center"/>
          </w:tcPr>
          <w:p w14:paraId="0398D25A" w14:textId="4DEBEFC4" w:rsidR="00B40F0E" w:rsidRPr="00A52514" w:rsidRDefault="00B40F0E" w:rsidP="00880AFC">
            <w:pPr>
              <w:rPr>
                <w:rFonts w:cs="Arial"/>
                <w:sz w:val="24"/>
                <w:szCs w:val="24"/>
              </w:rPr>
            </w:pPr>
            <w:r>
              <w:rPr>
                <w:rFonts w:cs="Arial"/>
                <w:sz w:val="20"/>
                <w:szCs w:val="20"/>
              </w:rPr>
              <w:t xml:space="preserve">Educator includes ongoing monitoring </w:t>
            </w:r>
            <w:r w:rsidR="006343C8">
              <w:rPr>
                <w:rFonts w:cs="Arial"/>
                <w:sz w:val="20"/>
                <w:szCs w:val="20"/>
              </w:rPr>
              <w:t>that is inclusive of benchmark or short-term objectives.</w:t>
            </w:r>
          </w:p>
        </w:tc>
        <w:tc>
          <w:tcPr>
            <w:tcW w:w="5731" w:type="dxa"/>
            <w:gridSpan w:val="2"/>
            <w:vAlign w:val="center"/>
          </w:tcPr>
          <w:p w14:paraId="31C04CDD" w14:textId="161990B8" w:rsidR="00A40A3F" w:rsidRDefault="00A40A3F" w:rsidP="002A5C6A">
            <w:pPr>
              <w:pStyle w:val="ListParagraph"/>
              <w:ind w:left="100" w:hanging="180"/>
              <w:rPr>
                <w:rFonts w:cs="Helvetica"/>
                <w:sz w:val="20"/>
                <w:szCs w:val="20"/>
              </w:rPr>
            </w:pPr>
            <w:r>
              <w:rPr>
                <w:rFonts w:cs="Helvetica"/>
                <w:sz w:val="20"/>
                <w:szCs w:val="20"/>
              </w:rPr>
              <w:t>As mandated for all MAP-A students…</w:t>
            </w:r>
          </w:p>
          <w:p w14:paraId="58BBDC42" w14:textId="435CC738" w:rsidR="00583E57" w:rsidRDefault="00194BB8" w:rsidP="00194BB8">
            <w:pPr>
              <w:pStyle w:val="ListParagraph"/>
              <w:numPr>
                <w:ilvl w:val="0"/>
                <w:numId w:val="20"/>
              </w:numPr>
              <w:ind w:left="186" w:hanging="180"/>
              <w:rPr>
                <w:rFonts w:cs="Helvetica"/>
                <w:sz w:val="20"/>
                <w:szCs w:val="20"/>
              </w:rPr>
            </w:pPr>
            <w:r>
              <w:rPr>
                <w:rFonts w:cs="Helvetica"/>
                <w:sz w:val="20"/>
                <w:szCs w:val="20"/>
              </w:rPr>
              <w:t xml:space="preserve">Benchmarks or short-term </w:t>
            </w:r>
            <w:r w:rsidR="006343C8" w:rsidRPr="00DC2DC8">
              <w:rPr>
                <w:rFonts w:cs="Helvetica"/>
                <w:sz w:val="20"/>
                <w:szCs w:val="20"/>
              </w:rPr>
              <w:t>objectives are included</w:t>
            </w:r>
            <w:r w:rsidR="00A40A3F">
              <w:rPr>
                <w:rFonts w:cs="Helvetica"/>
                <w:sz w:val="20"/>
                <w:szCs w:val="20"/>
              </w:rPr>
              <w:t xml:space="preserve"> for all goals</w:t>
            </w:r>
          </w:p>
          <w:p w14:paraId="6E7F3ECF" w14:textId="1BB7EE84" w:rsidR="00A40A3F" w:rsidRDefault="00A40A3F" w:rsidP="00194BB8">
            <w:pPr>
              <w:pStyle w:val="ListParagraph"/>
              <w:numPr>
                <w:ilvl w:val="0"/>
                <w:numId w:val="20"/>
              </w:numPr>
              <w:ind w:left="186" w:hanging="180"/>
              <w:rPr>
                <w:rFonts w:cs="Helvetica"/>
                <w:sz w:val="20"/>
                <w:szCs w:val="20"/>
              </w:rPr>
            </w:pPr>
            <w:r>
              <w:rPr>
                <w:rFonts w:cs="Helvetica"/>
                <w:sz w:val="20"/>
                <w:szCs w:val="20"/>
              </w:rPr>
              <w:t>All related services must have benchmarks/objectives</w:t>
            </w:r>
          </w:p>
          <w:p w14:paraId="6AA2F81D" w14:textId="1473E8E5" w:rsidR="00194BB8" w:rsidRDefault="00194BB8" w:rsidP="00194BB8">
            <w:pPr>
              <w:pStyle w:val="ListParagraph"/>
              <w:numPr>
                <w:ilvl w:val="0"/>
                <w:numId w:val="20"/>
              </w:numPr>
              <w:ind w:left="186" w:hanging="180"/>
              <w:rPr>
                <w:rFonts w:cs="Helvetica"/>
                <w:sz w:val="20"/>
                <w:szCs w:val="20"/>
              </w:rPr>
            </w:pPr>
            <w:r>
              <w:rPr>
                <w:rFonts w:cs="Helvetica"/>
                <w:sz w:val="20"/>
                <w:szCs w:val="20"/>
              </w:rPr>
              <w:t>Benchmarks or short-term objectives align with SMART goals</w:t>
            </w:r>
          </w:p>
          <w:p w14:paraId="487A7C11" w14:textId="32C13D3D" w:rsidR="00DC2DC8" w:rsidRPr="00DC2DC8" w:rsidRDefault="00DC2DC8" w:rsidP="00A40A3F">
            <w:pPr>
              <w:pStyle w:val="ListParagraph"/>
              <w:rPr>
                <w:rFonts w:cs="Helvetica"/>
                <w:sz w:val="20"/>
                <w:szCs w:val="20"/>
              </w:rPr>
            </w:pPr>
          </w:p>
        </w:tc>
        <w:tc>
          <w:tcPr>
            <w:tcW w:w="2757" w:type="dxa"/>
            <w:shd w:val="clear" w:color="auto" w:fill="auto"/>
            <w:vAlign w:val="center"/>
          </w:tcPr>
          <w:p w14:paraId="1DF66548" w14:textId="21631D6A" w:rsidR="00B40F0E" w:rsidRPr="006343C8" w:rsidRDefault="00194BB8" w:rsidP="006343C8">
            <w:pPr>
              <w:rPr>
                <w:rFonts w:cs="Helvetica"/>
                <w:sz w:val="20"/>
                <w:szCs w:val="20"/>
              </w:rPr>
            </w:pPr>
            <w:r>
              <w:rPr>
                <w:rFonts w:cs="Helvetica"/>
                <w:sz w:val="20"/>
                <w:szCs w:val="20"/>
              </w:rPr>
              <w:t xml:space="preserve">Benchmarks or short-term </w:t>
            </w:r>
            <w:r w:rsidR="006343C8" w:rsidRPr="006343C8">
              <w:rPr>
                <w:rFonts w:cs="Helvetica"/>
                <w:sz w:val="20"/>
                <w:szCs w:val="20"/>
              </w:rPr>
              <w:t>objectives are included on at least 80% of goals.</w:t>
            </w:r>
          </w:p>
        </w:tc>
        <w:tc>
          <w:tcPr>
            <w:tcW w:w="2759" w:type="dxa"/>
            <w:shd w:val="clear" w:color="auto" w:fill="auto"/>
            <w:vAlign w:val="center"/>
          </w:tcPr>
          <w:p w14:paraId="10982B1D" w14:textId="35C21DFB" w:rsidR="00B40F0E" w:rsidRPr="006343C8" w:rsidRDefault="006343C8" w:rsidP="00194BB8">
            <w:pPr>
              <w:rPr>
                <w:rFonts w:cs="Helvetica"/>
                <w:sz w:val="20"/>
                <w:szCs w:val="20"/>
              </w:rPr>
            </w:pPr>
            <w:r w:rsidRPr="006343C8">
              <w:rPr>
                <w:rFonts w:cs="Helvetica"/>
                <w:sz w:val="20"/>
                <w:szCs w:val="20"/>
              </w:rPr>
              <w:t>Benchmarks</w:t>
            </w:r>
            <w:r w:rsidR="00194BB8">
              <w:rPr>
                <w:rFonts w:cs="Helvetica"/>
                <w:sz w:val="20"/>
                <w:szCs w:val="20"/>
              </w:rPr>
              <w:t xml:space="preserve"> short-term </w:t>
            </w:r>
            <w:r w:rsidRPr="006343C8">
              <w:rPr>
                <w:rFonts w:cs="Helvetica"/>
                <w:sz w:val="20"/>
                <w:szCs w:val="20"/>
              </w:rPr>
              <w:t>objectives are not included in the IEP.</w:t>
            </w:r>
          </w:p>
        </w:tc>
      </w:tr>
    </w:tbl>
    <w:p w14:paraId="6DAF5335" w14:textId="39FDC35E" w:rsidR="00780CBE" w:rsidRDefault="00780CBE" w:rsidP="00A95BC4">
      <w:pPr>
        <w:autoSpaceDE w:val="0"/>
        <w:autoSpaceDN w:val="0"/>
        <w:adjustRightInd w:val="0"/>
        <w:spacing w:after="0" w:line="240" w:lineRule="auto"/>
        <w:rPr>
          <w:rFonts w:eastAsiaTheme="minorHAnsi" w:cs="Veljovic-Book"/>
          <w:sz w:val="16"/>
          <w:szCs w:val="16"/>
        </w:rPr>
      </w:pPr>
    </w:p>
    <w:sectPr w:rsidR="00780CBE" w:rsidSect="00194BB8">
      <w:footerReference w:type="default" r:id="rId8"/>
      <w:pgSz w:w="15840" w:h="12240" w:orient="landscape"/>
      <w:pgMar w:top="45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19D7" w14:textId="77777777" w:rsidR="00B570DE" w:rsidRDefault="00B570DE" w:rsidP="00902389">
      <w:pPr>
        <w:spacing w:after="0" w:line="240" w:lineRule="auto"/>
      </w:pPr>
      <w:r>
        <w:separator/>
      </w:r>
    </w:p>
  </w:endnote>
  <w:endnote w:type="continuationSeparator" w:id="0">
    <w:p w14:paraId="1C1877E0" w14:textId="77777777" w:rsidR="00B570DE" w:rsidRDefault="00B570DE"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332B" w14:textId="7ED441A5" w:rsidR="006E0D7D" w:rsidRPr="00447BD3" w:rsidRDefault="006E0D7D" w:rsidP="00447BD3">
    <w:pPr>
      <w:pBdr>
        <w:top w:val="single" w:sz="12" w:space="0" w:color="4BACC6"/>
      </w:pBdr>
      <w:tabs>
        <w:tab w:val="center" w:pos="4680"/>
        <w:tab w:val="right" w:pos="9360"/>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2953" w14:textId="77777777" w:rsidR="00B570DE" w:rsidRDefault="00B570DE" w:rsidP="00902389">
      <w:pPr>
        <w:spacing w:after="0" w:line="240" w:lineRule="auto"/>
      </w:pPr>
      <w:r>
        <w:separator/>
      </w:r>
    </w:p>
  </w:footnote>
  <w:footnote w:type="continuationSeparator" w:id="0">
    <w:p w14:paraId="50A4C171" w14:textId="77777777" w:rsidR="00B570DE" w:rsidRDefault="00B570DE"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84B"/>
    <w:multiLevelType w:val="hybridMultilevel"/>
    <w:tmpl w:val="EAB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4E90"/>
    <w:multiLevelType w:val="hybridMultilevel"/>
    <w:tmpl w:val="73F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0794"/>
    <w:multiLevelType w:val="hybridMultilevel"/>
    <w:tmpl w:val="D784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D7D5D"/>
    <w:multiLevelType w:val="hybridMultilevel"/>
    <w:tmpl w:val="6DCEDE22"/>
    <w:lvl w:ilvl="0" w:tplc="04090001">
      <w:start w:val="1"/>
      <w:numFmt w:val="bullet"/>
      <w:lvlText w:val=""/>
      <w:lvlJc w:val="left"/>
      <w:pPr>
        <w:tabs>
          <w:tab w:val="num" w:pos="594"/>
        </w:tabs>
        <w:ind w:left="234" w:hanging="144"/>
      </w:pPr>
      <w:rPr>
        <w:rFonts w:ascii="Symbol" w:hAnsi="Symbol" w:hint="default"/>
      </w:rPr>
    </w:lvl>
    <w:lvl w:ilvl="1" w:tplc="04090003">
      <w:start w:val="1"/>
      <w:numFmt w:val="bullet"/>
      <w:lvlText w:val="o"/>
      <w:lvlJc w:val="left"/>
      <w:pPr>
        <w:tabs>
          <w:tab w:val="num" w:pos="1314"/>
        </w:tabs>
        <w:ind w:left="1314" w:hanging="360"/>
      </w:pPr>
      <w:rPr>
        <w:rFonts w:ascii="Courier New" w:hAnsi="Courier New" w:cs="Courier New" w:hint="default"/>
      </w:rPr>
    </w:lvl>
    <w:lvl w:ilvl="2" w:tplc="04090005">
      <w:start w:val="1"/>
      <w:numFmt w:val="bullet"/>
      <w:lvlText w:val=""/>
      <w:lvlJc w:val="left"/>
      <w:pPr>
        <w:tabs>
          <w:tab w:val="num" w:pos="2034"/>
        </w:tabs>
        <w:ind w:left="2034" w:hanging="360"/>
      </w:pPr>
      <w:rPr>
        <w:rFonts w:ascii="Wingdings" w:hAnsi="Wingdings" w:hint="default"/>
      </w:rPr>
    </w:lvl>
    <w:lvl w:ilvl="3" w:tplc="04090001">
      <w:start w:val="1"/>
      <w:numFmt w:val="bullet"/>
      <w:lvlText w:val=""/>
      <w:lvlJc w:val="left"/>
      <w:pPr>
        <w:tabs>
          <w:tab w:val="num" w:pos="2754"/>
        </w:tabs>
        <w:ind w:left="2754" w:hanging="360"/>
      </w:pPr>
      <w:rPr>
        <w:rFonts w:ascii="Symbol" w:hAnsi="Symbol" w:hint="default"/>
      </w:rPr>
    </w:lvl>
    <w:lvl w:ilvl="4" w:tplc="04090003">
      <w:start w:val="1"/>
      <w:numFmt w:val="bullet"/>
      <w:lvlText w:val="o"/>
      <w:lvlJc w:val="left"/>
      <w:pPr>
        <w:tabs>
          <w:tab w:val="num" w:pos="3474"/>
        </w:tabs>
        <w:ind w:left="3474" w:hanging="360"/>
      </w:pPr>
      <w:rPr>
        <w:rFonts w:ascii="Courier New" w:hAnsi="Courier New" w:cs="Courier New" w:hint="default"/>
      </w:rPr>
    </w:lvl>
    <w:lvl w:ilvl="5" w:tplc="04090005">
      <w:start w:val="1"/>
      <w:numFmt w:val="bullet"/>
      <w:lvlText w:val=""/>
      <w:lvlJc w:val="left"/>
      <w:pPr>
        <w:tabs>
          <w:tab w:val="num" w:pos="4194"/>
        </w:tabs>
        <w:ind w:left="4194" w:hanging="360"/>
      </w:pPr>
      <w:rPr>
        <w:rFonts w:ascii="Wingdings" w:hAnsi="Wingdings" w:hint="default"/>
      </w:rPr>
    </w:lvl>
    <w:lvl w:ilvl="6" w:tplc="04090001">
      <w:start w:val="1"/>
      <w:numFmt w:val="bullet"/>
      <w:lvlText w:val=""/>
      <w:lvlJc w:val="left"/>
      <w:pPr>
        <w:tabs>
          <w:tab w:val="num" w:pos="4914"/>
        </w:tabs>
        <w:ind w:left="4914" w:hanging="360"/>
      </w:pPr>
      <w:rPr>
        <w:rFonts w:ascii="Symbol" w:hAnsi="Symbol" w:hint="default"/>
      </w:rPr>
    </w:lvl>
    <w:lvl w:ilvl="7" w:tplc="04090003">
      <w:start w:val="1"/>
      <w:numFmt w:val="bullet"/>
      <w:lvlText w:val="o"/>
      <w:lvlJc w:val="left"/>
      <w:pPr>
        <w:tabs>
          <w:tab w:val="num" w:pos="5634"/>
        </w:tabs>
        <w:ind w:left="5634" w:hanging="360"/>
      </w:pPr>
      <w:rPr>
        <w:rFonts w:ascii="Courier New" w:hAnsi="Courier New" w:cs="Courier New" w:hint="default"/>
      </w:rPr>
    </w:lvl>
    <w:lvl w:ilvl="8" w:tplc="04090005">
      <w:start w:val="1"/>
      <w:numFmt w:val="bullet"/>
      <w:lvlText w:val=""/>
      <w:lvlJc w:val="left"/>
      <w:pPr>
        <w:tabs>
          <w:tab w:val="num" w:pos="6354"/>
        </w:tabs>
        <w:ind w:left="6354" w:hanging="360"/>
      </w:pPr>
      <w:rPr>
        <w:rFonts w:ascii="Wingdings" w:hAnsi="Wingdings" w:hint="default"/>
      </w:rPr>
    </w:lvl>
  </w:abstractNum>
  <w:abstractNum w:abstractNumId="6" w15:restartNumberingAfterBreak="0">
    <w:nsid w:val="353E3E34"/>
    <w:multiLevelType w:val="hybridMultilevel"/>
    <w:tmpl w:val="422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A424D4"/>
    <w:multiLevelType w:val="hybridMultilevel"/>
    <w:tmpl w:val="1C8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4C5F"/>
    <w:multiLevelType w:val="hybridMultilevel"/>
    <w:tmpl w:val="2C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B27D5"/>
    <w:multiLevelType w:val="hybridMultilevel"/>
    <w:tmpl w:val="7B7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0"/>
  </w:num>
  <w:num w:numId="5">
    <w:abstractNumId w:val="15"/>
  </w:num>
  <w:num w:numId="6">
    <w:abstractNumId w:val="13"/>
  </w:num>
  <w:num w:numId="7">
    <w:abstractNumId w:val="7"/>
  </w:num>
  <w:num w:numId="8">
    <w:abstractNumId w:val="1"/>
  </w:num>
  <w:num w:numId="9">
    <w:abstractNumId w:val="18"/>
  </w:num>
  <w:num w:numId="10">
    <w:abstractNumId w:val="10"/>
  </w:num>
  <w:num w:numId="11">
    <w:abstractNumId w:val="20"/>
  </w:num>
  <w:num w:numId="12">
    <w:abstractNumId w:val="19"/>
  </w:num>
  <w:num w:numId="13">
    <w:abstractNumId w:val="17"/>
  </w:num>
  <w:num w:numId="14">
    <w:abstractNumId w:val="8"/>
  </w:num>
  <w:num w:numId="15">
    <w:abstractNumId w:val="5"/>
  </w:num>
  <w:num w:numId="16">
    <w:abstractNumId w:val="16"/>
  </w:num>
  <w:num w:numId="17">
    <w:abstractNumId w:val="21"/>
  </w:num>
  <w:num w:numId="18">
    <w:abstractNumId w:val="12"/>
  </w:num>
  <w:num w:numId="19">
    <w:abstractNumId w:val="3"/>
  </w:num>
  <w:num w:numId="20">
    <w:abstractNumId w:val="4"/>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21452"/>
    <w:rsid w:val="00051948"/>
    <w:rsid w:val="00074906"/>
    <w:rsid w:val="000B0415"/>
    <w:rsid w:val="000B1107"/>
    <w:rsid w:val="000E7FC3"/>
    <w:rsid w:val="001234D2"/>
    <w:rsid w:val="00141A1D"/>
    <w:rsid w:val="00194BB8"/>
    <w:rsid w:val="001A1CA6"/>
    <w:rsid w:val="001C2A4A"/>
    <w:rsid w:val="002230E0"/>
    <w:rsid w:val="00247F1A"/>
    <w:rsid w:val="00251219"/>
    <w:rsid w:val="0026477A"/>
    <w:rsid w:val="00267138"/>
    <w:rsid w:val="00280F2C"/>
    <w:rsid w:val="00296239"/>
    <w:rsid w:val="002A0C54"/>
    <w:rsid w:val="002A5C6A"/>
    <w:rsid w:val="002B4D6C"/>
    <w:rsid w:val="002F7748"/>
    <w:rsid w:val="003445C2"/>
    <w:rsid w:val="00347B1C"/>
    <w:rsid w:val="00350296"/>
    <w:rsid w:val="003544C0"/>
    <w:rsid w:val="003609E1"/>
    <w:rsid w:val="00362221"/>
    <w:rsid w:val="003865C5"/>
    <w:rsid w:val="003B13AC"/>
    <w:rsid w:val="003D2FE1"/>
    <w:rsid w:val="003E4FE1"/>
    <w:rsid w:val="004340B0"/>
    <w:rsid w:val="00447BD3"/>
    <w:rsid w:val="004645DB"/>
    <w:rsid w:val="00465309"/>
    <w:rsid w:val="00486583"/>
    <w:rsid w:val="004A548E"/>
    <w:rsid w:val="004C4754"/>
    <w:rsid w:val="004D3A7F"/>
    <w:rsid w:val="0051497F"/>
    <w:rsid w:val="0052396B"/>
    <w:rsid w:val="00530301"/>
    <w:rsid w:val="005458FC"/>
    <w:rsid w:val="005504A3"/>
    <w:rsid w:val="005672F8"/>
    <w:rsid w:val="005812C3"/>
    <w:rsid w:val="00583E57"/>
    <w:rsid w:val="005C495B"/>
    <w:rsid w:val="005E5F67"/>
    <w:rsid w:val="005E60CE"/>
    <w:rsid w:val="006028C2"/>
    <w:rsid w:val="006242CC"/>
    <w:rsid w:val="006269A2"/>
    <w:rsid w:val="006343C8"/>
    <w:rsid w:val="00651AE6"/>
    <w:rsid w:val="00654A93"/>
    <w:rsid w:val="00660425"/>
    <w:rsid w:val="00662CA7"/>
    <w:rsid w:val="00673E30"/>
    <w:rsid w:val="00690029"/>
    <w:rsid w:val="006D79EC"/>
    <w:rsid w:val="006E0D7D"/>
    <w:rsid w:val="006E250A"/>
    <w:rsid w:val="0071149B"/>
    <w:rsid w:val="00745E01"/>
    <w:rsid w:val="00780CBE"/>
    <w:rsid w:val="0078408D"/>
    <w:rsid w:val="00784AA8"/>
    <w:rsid w:val="00786EED"/>
    <w:rsid w:val="007966B2"/>
    <w:rsid w:val="007B57C2"/>
    <w:rsid w:val="007E03E9"/>
    <w:rsid w:val="007E3725"/>
    <w:rsid w:val="007E598E"/>
    <w:rsid w:val="007E69FC"/>
    <w:rsid w:val="007E6E54"/>
    <w:rsid w:val="00820AE2"/>
    <w:rsid w:val="0082523B"/>
    <w:rsid w:val="00867352"/>
    <w:rsid w:val="0087212C"/>
    <w:rsid w:val="00880AFC"/>
    <w:rsid w:val="00881BD6"/>
    <w:rsid w:val="008A44CF"/>
    <w:rsid w:val="008C6151"/>
    <w:rsid w:val="008D594D"/>
    <w:rsid w:val="008E7369"/>
    <w:rsid w:val="00902389"/>
    <w:rsid w:val="00974D7D"/>
    <w:rsid w:val="009908B3"/>
    <w:rsid w:val="009D5DED"/>
    <w:rsid w:val="009F0CC7"/>
    <w:rsid w:val="00A200A6"/>
    <w:rsid w:val="00A310F1"/>
    <w:rsid w:val="00A40A3F"/>
    <w:rsid w:val="00A522F9"/>
    <w:rsid w:val="00A52514"/>
    <w:rsid w:val="00A643E5"/>
    <w:rsid w:val="00A95BC4"/>
    <w:rsid w:val="00A962AE"/>
    <w:rsid w:val="00AA5D77"/>
    <w:rsid w:val="00AB5AEC"/>
    <w:rsid w:val="00AF6620"/>
    <w:rsid w:val="00B16CD3"/>
    <w:rsid w:val="00B16D3A"/>
    <w:rsid w:val="00B40F0E"/>
    <w:rsid w:val="00B570DE"/>
    <w:rsid w:val="00B749B8"/>
    <w:rsid w:val="00B9719B"/>
    <w:rsid w:val="00BC0424"/>
    <w:rsid w:val="00BE2149"/>
    <w:rsid w:val="00BE6649"/>
    <w:rsid w:val="00C20527"/>
    <w:rsid w:val="00C41FE3"/>
    <w:rsid w:val="00CD1C5D"/>
    <w:rsid w:val="00CD4909"/>
    <w:rsid w:val="00CE298E"/>
    <w:rsid w:val="00D212C4"/>
    <w:rsid w:val="00D41CF7"/>
    <w:rsid w:val="00D70807"/>
    <w:rsid w:val="00DC2DC8"/>
    <w:rsid w:val="00DD71AC"/>
    <w:rsid w:val="00DE0985"/>
    <w:rsid w:val="00DF7318"/>
    <w:rsid w:val="00E135AD"/>
    <w:rsid w:val="00E366F1"/>
    <w:rsid w:val="00E511E7"/>
    <w:rsid w:val="00E70015"/>
    <w:rsid w:val="00E74501"/>
    <w:rsid w:val="00E74674"/>
    <w:rsid w:val="00EC4625"/>
    <w:rsid w:val="00EC73E9"/>
    <w:rsid w:val="00EF03D1"/>
    <w:rsid w:val="00F008A9"/>
    <w:rsid w:val="00F472E9"/>
    <w:rsid w:val="00F50818"/>
    <w:rsid w:val="00F616C2"/>
    <w:rsid w:val="00F7277B"/>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E9D67"/>
  <w15:docId w15:val="{0D006E4F-459F-4E42-AC2F-CF7D6290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8987">
      <w:bodyDiv w:val="1"/>
      <w:marLeft w:val="0"/>
      <w:marRight w:val="0"/>
      <w:marTop w:val="0"/>
      <w:marBottom w:val="0"/>
      <w:divBdr>
        <w:top w:val="none" w:sz="0" w:space="0" w:color="auto"/>
        <w:left w:val="none" w:sz="0" w:space="0" w:color="auto"/>
        <w:bottom w:val="none" w:sz="0" w:space="0" w:color="auto"/>
        <w:right w:val="none" w:sz="0" w:space="0" w:color="auto"/>
      </w:divBdr>
      <w:divsChild>
        <w:div w:id="1978492746">
          <w:marLeft w:val="1339"/>
          <w:marRight w:val="0"/>
          <w:marTop w:val="130"/>
          <w:marBottom w:val="0"/>
          <w:divBdr>
            <w:top w:val="none" w:sz="0" w:space="0" w:color="auto"/>
            <w:left w:val="none" w:sz="0" w:space="0" w:color="auto"/>
            <w:bottom w:val="none" w:sz="0" w:space="0" w:color="auto"/>
            <w:right w:val="none" w:sz="0" w:space="0" w:color="auto"/>
          </w:divBdr>
        </w:div>
        <w:div w:id="2041585894">
          <w:marLeft w:val="1339"/>
          <w:marRight w:val="0"/>
          <w:marTop w:val="130"/>
          <w:marBottom w:val="0"/>
          <w:divBdr>
            <w:top w:val="none" w:sz="0" w:space="0" w:color="auto"/>
            <w:left w:val="none" w:sz="0" w:space="0" w:color="auto"/>
            <w:bottom w:val="none" w:sz="0" w:space="0" w:color="auto"/>
            <w:right w:val="none" w:sz="0" w:space="0" w:color="auto"/>
          </w:divBdr>
        </w:div>
        <w:div w:id="487599840">
          <w:marLeft w:val="1339"/>
          <w:marRight w:val="0"/>
          <w:marTop w:val="130"/>
          <w:marBottom w:val="0"/>
          <w:divBdr>
            <w:top w:val="none" w:sz="0" w:space="0" w:color="auto"/>
            <w:left w:val="none" w:sz="0" w:space="0" w:color="auto"/>
            <w:bottom w:val="none" w:sz="0" w:space="0" w:color="auto"/>
            <w:right w:val="none" w:sz="0" w:space="0" w:color="auto"/>
          </w:divBdr>
        </w:div>
        <w:div w:id="2059350411">
          <w:marLeft w:val="1339"/>
          <w:marRight w:val="0"/>
          <w:marTop w:val="130"/>
          <w:marBottom w:val="0"/>
          <w:divBdr>
            <w:top w:val="none" w:sz="0" w:space="0" w:color="auto"/>
            <w:left w:val="none" w:sz="0" w:space="0" w:color="auto"/>
            <w:bottom w:val="none" w:sz="0" w:space="0" w:color="auto"/>
            <w:right w:val="none" w:sz="0" w:space="0" w:color="auto"/>
          </w:divBdr>
        </w:div>
      </w:divsChild>
    </w:div>
    <w:div w:id="1150633858">
      <w:bodyDiv w:val="1"/>
      <w:marLeft w:val="0"/>
      <w:marRight w:val="0"/>
      <w:marTop w:val="0"/>
      <w:marBottom w:val="0"/>
      <w:divBdr>
        <w:top w:val="none" w:sz="0" w:space="0" w:color="auto"/>
        <w:left w:val="none" w:sz="0" w:space="0" w:color="auto"/>
        <w:bottom w:val="none" w:sz="0" w:space="0" w:color="auto"/>
        <w:right w:val="none" w:sz="0" w:space="0" w:color="auto"/>
      </w:divBdr>
    </w:div>
    <w:div w:id="1594122919">
      <w:bodyDiv w:val="1"/>
      <w:marLeft w:val="0"/>
      <w:marRight w:val="0"/>
      <w:marTop w:val="0"/>
      <w:marBottom w:val="0"/>
      <w:divBdr>
        <w:top w:val="none" w:sz="0" w:space="0" w:color="auto"/>
        <w:left w:val="none" w:sz="0" w:space="0" w:color="auto"/>
        <w:bottom w:val="none" w:sz="0" w:space="0" w:color="auto"/>
        <w:right w:val="none" w:sz="0" w:space="0" w:color="auto"/>
      </w:divBdr>
      <w:divsChild>
        <w:div w:id="989138513">
          <w:marLeft w:val="1339"/>
          <w:marRight w:val="0"/>
          <w:marTop w:val="130"/>
          <w:marBottom w:val="0"/>
          <w:divBdr>
            <w:top w:val="none" w:sz="0" w:space="0" w:color="auto"/>
            <w:left w:val="none" w:sz="0" w:space="0" w:color="auto"/>
            <w:bottom w:val="none" w:sz="0" w:space="0" w:color="auto"/>
            <w:right w:val="none" w:sz="0" w:space="0" w:color="auto"/>
          </w:divBdr>
        </w:div>
        <w:div w:id="454174284">
          <w:marLeft w:val="1339"/>
          <w:marRight w:val="0"/>
          <w:marTop w:val="130"/>
          <w:marBottom w:val="0"/>
          <w:divBdr>
            <w:top w:val="none" w:sz="0" w:space="0" w:color="auto"/>
            <w:left w:val="none" w:sz="0" w:space="0" w:color="auto"/>
            <w:bottom w:val="none" w:sz="0" w:space="0" w:color="auto"/>
            <w:right w:val="none" w:sz="0" w:space="0" w:color="auto"/>
          </w:divBdr>
        </w:div>
        <w:div w:id="1197355030">
          <w:marLeft w:val="1339"/>
          <w:marRight w:val="0"/>
          <w:marTop w:val="130"/>
          <w:marBottom w:val="0"/>
          <w:divBdr>
            <w:top w:val="none" w:sz="0" w:space="0" w:color="auto"/>
            <w:left w:val="none" w:sz="0" w:space="0" w:color="auto"/>
            <w:bottom w:val="none" w:sz="0" w:space="0" w:color="auto"/>
            <w:right w:val="none" w:sz="0" w:space="0" w:color="auto"/>
          </w:divBdr>
        </w:div>
        <w:div w:id="341513427">
          <w:marLeft w:val="1339"/>
          <w:marRight w:val="0"/>
          <w:marTop w:val="130"/>
          <w:marBottom w:val="0"/>
          <w:divBdr>
            <w:top w:val="none" w:sz="0" w:space="0" w:color="auto"/>
            <w:left w:val="none" w:sz="0" w:space="0" w:color="auto"/>
            <w:bottom w:val="none" w:sz="0" w:space="0" w:color="auto"/>
            <w:right w:val="none" w:sz="0" w:space="0" w:color="auto"/>
          </w:divBdr>
        </w:div>
      </w:divsChild>
    </w:div>
    <w:div w:id="16285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F66B-5C0B-473D-8F77-075CD760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See, Susan</cp:lastModifiedBy>
  <cp:revision>3</cp:revision>
  <cp:lastPrinted>2013-11-19T20:13:00Z</cp:lastPrinted>
  <dcterms:created xsi:type="dcterms:W3CDTF">2020-03-31T22:13:00Z</dcterms:created>
  <dcterms:modified xsi:type="dcterms:W3CDTF">2020-12-07T19:56:00Z</dcterms:modified>
</cp:coreProperties>
</file>